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5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napToGrid w:val="0"/>
        <w:spacing w:line="360" w:lineRule="auto"/>
        <w:ind w:right="558" w:firstLine="57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第十八批区校院企干部人才挂职岗位目录</w:t>
      </w:r>
    </w:p>
    <w:tbl>
      <w:tblPr>
        <w:tblStyle w:val="6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38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挂职单位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挂职职务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区委政策研究室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区政府研究室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区档案局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档案专业、文学专业优先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区委宣传部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副部长或部长助理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文学专业、社会学专业优先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区委老干部局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社会学、心理学专业优先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区机关党工委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副书记或书记助理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中文、社会管理专业优先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区社会工作党委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副书记或书记助理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区总工会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副主席或主席助理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法律、中文专业优先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区妇联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副主席或主席助理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社会管理、社会组织专业优先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区残联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副理事长或理事长助理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社会学、社工专业优先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区工商联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副主席或主席助理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经济学、投募金融、企业管理专业优先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区红十字会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副会长或会长助理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区政府办公室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产业经济、区域经济、社会管理专业优先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区法制办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法律专业优先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区合作交流办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区发改委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区商务委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设计、国际贸易专业优先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区建设管理委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交通管理、城市建设专业优先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挂职单位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挂职职务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区科委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2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2"/>
                <w:sz w:val="28"/>
                <w:szCs w:val="28"/>
              </w:rPr>
              <w:t>物联网、云计算、现代设计、金融专业优先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区信息委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区司法局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法学专业优先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区人社局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或挂职至下属事业单位有关岗位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区民政局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区财政局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财经专业优先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区国资委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区市场监管局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区审计局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区教育局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或挂职至下属事业单位有关岗位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区文化局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文化产业管理、经济专业优先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区卫计委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或挂职至下属事业单位有关岗位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区体育局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区绿化市容局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园林绿化、景观设计、规划管理专业优先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区环保局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区规土局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城市规划、建筑学专业优先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区住房保障房屋管理局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建筑、法律、社会管理专业优先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区安监局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区民防办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区金融办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挂职单位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挂职职务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区城管执法局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副局长或局长助理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区各街道、镇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副书记、副主任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或书记助理、主任助理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社区管理、行政管理、社会学、公共管理、文秘、环境建设专业优先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区委党校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副校长或校长助理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区委党史研究室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副主任或主任助理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卫百辛（集团）公司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杨浦科创（集团）公司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杨浦城投（集团）公司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46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杨浦商贸（集团）公司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杨浦投控（集团）公司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滨江公司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副总经理或总经理助理</w:t>
            </w:r>
          </w:p>
        </w:tc>
        <w:tc>
          <w:tcPr>
            <w:tcW w:w="62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right="418"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  <w:rPr>
        <w:rFonts w:hint="eastAsia" w:ascii="仿宋_GB2312" w:eastAsia="仿宋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1E8D"/>
    <w:rsid w:val="4ECD1E8D"/>
    <w:rsid w:val="673B36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2017-11-23T11:19:00Z</dcterms:created>
  <dc:creator>菜菜1376226560</dc:creator>
  <cp:lastModifiedBy>菜菜1376226560</cp:lastModifiedBy>
  <dcterms:modified xsi:type="dcterms:W3CDTF">2017-11-23T11:20:54Z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