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99F" w:rsidRPr="0049487D" w:rsidRDefault="00D4299F" w:rsidP="002259A4">
      <w:pPr>
        <w:pStyle w:val="a9"/>
        <w:spacing w:line="360" w:lineRule="auto"/>
      </w:pPr>
      <w:bookmarkStart w:id="0" w:name="_GoBack"/>
      <w:r w:rsidRPr="0049487D">
        <w:t>2015</w:t>
      </w:r>
      <w:r w:rsidRPr="0049487D">
        <w:rPr>
          <w:rFonts w:hint="eastAsia"/>
        </w:rPr>
        <w:t>年</w:t>
      </w:r>
      <w:r w:rsidR="005B5D69">
        <w:rPr>
          <w:rFonts w:hint="eastAsia"/>
        </w:rPr>
        <w:t>度</w:t>
      </w:r>
      <w:bookmarkStart w:id="1" w:name="OLE_LINK1"/>
      <w:r w:rsidRPr="0049487D">
        <w:rPr>
          <w:rFonts w:hint="eastAsia"/>
        </w:rPr>
        <w:t>学生体质健康标准测试</w:t>
      </w:r>
      <w:bookmarkEnd w:id="1"/>
      <w:r w:rsidRPr="0049487D">
        <w:rPr>
          <w:rFonts w:hint="eastAsia"/>
        </w:rPr>
        <w:t>工作总结</w:t>
      </w:r>
      <w:bookmarkEnd w:id="0"/>
    </w:p>
    <w:p w:rsidR="00D4299F" w:rsidRPr="0049487D" w:rsidRDefault="00D4299F" w:rsidP="002259A4">
      <w:pPr>
        <w:spacing w:line="360" w:lineRule="auto"/>
        <w:ind w:firstLine="450"/>
        <w:jc w:val="left"/>
        <w:rPr>
          <w:rFonts w:ascii="Arial" w:hAnsi="Arial" w:cs="Arial"/>
          <w:sz w:val="28"/>
          <w:szCs w:val="28"/>
          <w:shd w:val="clear" w:color="auto" w:fill="FFFFFF"/>
        </w:rPr>
      </w:pPr>
    </w:p>
    <w:p w:rsidR="00D4299F" w:rsidRPr="0049487D" w:rsidRDefault="00D4299F" w:rsidP="00C53060">
      <w:pPr>
        <w:spacing w:line="360" w:lineRule="auto"/>
        <w:ind w:firstLine="450"/>
        <w:jc w:val="left"/>
        <w:rPr>
          <w:sz w:val="28"/>
          <w:szCs w:val="28"/>
          <w:shd w:val="clear" w:color="auto" w:fill="FFFFFF"/>
        </w:rPr>
      </w:pPr>
      <w:r w:rsidRPr="0049487D">
        <w:rPr>
          <w:rFonts w:ascii="Arial" w:hAnsi="Arial" w:cs="Arial" w:hint="eastAsia"/>
          <w:sz w:val="28"/>
          <w:szCs w:val="28"/>
          <w:shd w:val="clear" w:color="auto" w:fill="FFFFFF"/>
        </w:rPr>
        <w:t>为建立健全国家学生体质健康监测评价机制，激励学生积极参加身体锻炼，教育部印发《国家学生体质健康标准</w:t>
      </w:r>
      <w:r w:rsidRPr="0049487D">
        <w:rPr>
          <w:rFonts w:ascii="Arial" w:hAnsi="Arial" w:cs="Arial"/>
          <w:sz w:val="28"/>
          <w:szCs w:val="28"/>
          <w:shd w:val="clear" w:color="auto" w:fill="FFFFFF"/>
        </w:rPr>
        <w:t>(2014</w:t>
      </w:r>
      <w:r w:rsidRPr="0049487D">
        <w:rPr>
          <w:rFonts w:ascii="Arial" w:hAnsi="Arial" w:cs="Arial" w:hint="eastAsia"/>
          <w:sz w:val="28"/>
          <w:szCs w:val="28"/>
          <w:shd w:val="clear" w:color="auto" w:fill="FFFFFF"/>
        </w:rPr>
        <w:t>年修订</w:t>
      </w:r>
      <w:r w:rsidRPr="0049487D">
        <w:rPr>
          <w:rFonts w:ascii="Arial" w:hAnsi="Arial" w:cs="Arial"/>
          <w:sz w:val="28"/>
          <w:szCs w:val="28"/>
          <w:shd w:val="clear" w:color="auto" w:fill="FFFFFF"/>
        </w:rPr>
        <w:t>)</w:t>
      </w:r>
      <w:r w:rsidRPr="0049487D">
        <w:rPr>
          <w:rFonts w:ascii="Arial" w:hAnsi="Arial" w:cs="Arial" w:hint="eastAsia"/>
          <w:sz w:val="28"/>
          <w:szCs w:val="28"/>
          <w:shd w:val="clear" w:color="auto" w:fill="FFFFFF"/>
        </w:rPr>
        <w:t>》，要求各学校每学年开展覆盖本校各年级学生的《标准》测试工作，并根据学生学年总分评定等级。其目的是</w:t>
      </w:r>
      <w:r w:rsidRPr="0049487D">
        <w:rPr>
          <w:rFonts w:hint="eastAsia"/>
          <w:sz w:val="28"/>
          <w:szCs w:val="28"/>
          <w:shd w:val="clear" w:color="auto" w:fill="FFFFFF"/>
        </w:rPr>
        <w:t>为建立健全国家学生体质健康监测评价机制，激励学生积极参加身体锻炼，引导学校深化体育教学改革，推动各地加强学校体育工作，促进青少年身心健康、体魄强健、全面发展。我校为了全面贯彻和认真执行新修订的《国家学生体质健康标准》，检查大学生体质健康状况，掌握学生体质健康变化的客观规律，引导学生关注自身的健康状况，了解体质健康测试的个体评价标准，激发学生科学锻炼身体的自觉性和积极性，提高校园健康生活质量，并为学校管理部门和体育教研部不断改进体育教学工作于管理工作提供依据，</w:t>
      </w:r>
      <w:r w:rsidRPr="0049487D">
        <w:rPr>
          <w:sz w:val="28"/>
          <w:szCs w:val="28"/>
          <w:shd w:val="clear" w:color="auto" w:fill="FFFFFF"/>
        </w:rPr>
        <w:t>2015</w:t>
      </w:r>
      <w:r w:rsidRPr="0049487D">
        <w:rPr>
          <w:rFonts w:hint="eastAsia"/>
          <w:sz w:val="28"/>
          <w:szCs w:val="28"/>
          <w:shd w:val="clear" w:color="auto" w:fill="FFFFFF"/>
        </w:rPr>
        <w:t>年体育教研部对全校学生进行了系统的体质健康测试，现将体测实施情况作如下总结汇报：</w:t>
      </w:r>
    </w:p>
    <w:p w:rsidR="00D4299F" w:rsidRPr="0049487D" w:rsidRDefault="00D4299F" w:rsidP="002259A4">
      <w:pPr>
        <w:widowControl/>
        <w:shd w:val="clear" w:color="auto" w:fill="FFFFFF"/>
        <w:spacing w:line="360" w:lineRule="auto"/>
        <w:jc w:val="left"/>
        <w:rPr>
          <w:rFonts w:ascii="黑体" w:eastAsia="黑体" w:hAnsi="黑体"/>
          <w:b/>
          <w:kern w:val="0"/>
          <w:sz w:val="28"/>
          <w:szCs w:val="28"/>
        </w:rPr>
      </w:pPr>
      <w:r w:rsidRPr="0049487D">
        <w:rPr>
          <w:rFonts w:ascii="黑体" w:eastAsia="黑体" w:hAnsi="黑体" w:hint="eastAsia"/>
          <w:b/>
          <w:sz w:val="28"/>
          <w:szCs w:val="28"/>
        </w:rPr>
        <w:t>一、前期准备：通知调研，提高认识，完善方案</w:t>
      </w:r>
      <w:r w:rsidRPr="0049487D">
        <w:rPr>
          <w:rFonts w:ascii="宋体" w:cs="宋体"/>
          <w:b/>
          <w:kern w:val="0"/>
          <w:sz w:val="28"/>
          <w:szCs w:val="28"/>
        </w:rPr>
        <w:t> </w:t>
      </w:r>
    </w:p>
    <w:p w:rsidR="00D4299F" w:rsidRPr="0049487D" w:rsidRDefault="00D4299F" w:rsidP="0049487D">
      <w:pPr>
        <w:spacing w:line="360" w:lineRule="auto"/>
        <w:ind w:firstLineChars="250" w:firstLine="700"/>
        <w:rPr>
          <w:rFonts w:ascii="宋体"/>
          <w:kern w:val="0"/>
          <w:sz w:val="28"/>
          <w:szCs w:val="28"/>
        </w:rPr>
      </w:pPr>
      <w:r w:rsidRPr="0049487D">
        <w:rPr>
          <w:rFonts w:ascii="宋体" w:hAnsi="宋体" w:hint="eastAsia"/>
          <w:kern w:val="0"/>
          <w:sz w:val="28"/>
          <w:szCs w:val="28"/>
        </w:rPr>
        <w:t>根据教育部新修订的《国家学生体质健康标准》的工作要求，并结合我校实际，本学年学生体质健康测试方式进行了适当调整，修改新运行方式，并将全校学生纳入体测对象范围。各学院参照《上海海洋大学</w:t>
      </w:r>
      <w:r w:rsidRPr="0049487D">
        <w:rPr>
          <w:rFonts w:ascii="宋体" w:hAnsi="宋体"/>
          <w:kern w:val="0"/>
          <w:sz w:val="28"/>
          <w:szCs w:val="28"/>
        </w:rPr>
        <w:t>2015</w:t>
      </w:r>
      <w:r w:rsidRPr="0049487D">
        <w:rPr>
          <w:rFonts w:ascii="宋体" w:hAnsi="宋体" w:hint="eastAsia"/>
          <w:kern w:val="0"/>
          <w:sz w:val="28"/>
          <w:szCs w:val="28"/>
        </w:rPr>
        <w:t>年度学生体质健康测试实施方案（学院职能部门用）》，做好学生宣传和组织工作，并统一受理学生《免予执行</w:t>
      </w:r>
      <w:r w:rsidRPr="0049487D">
        <w:rPr>
          <w:rFonts w:ascii="宋体" w:hAnsi="宋体"/>
          <w:kern w:val="0"/>
          <w:sz w:val="28"/>
          <w:szCs w:val="28"/>
        </w:rPr>
        <w:t>&lt;</w:t>
      </w:r>
      <w:r w:rsidRPr="0049487D">
        <w:rPr>
          <w:rFonts w:ascii="宋体" w:hAnsi="宋体" w:hint="eastAsia"/>
          <w:kern w:val="0"/>
          <w:sz w:val="28"/>
          <w:szCs w:val="28"/>
        </w:rPr>
        <w:t>国家学生体质健康标准</w:t>
      </w:r>
      <w:r w:rsidRPr="0049487D">
        <w:rPr>
          <w:rFonts w:ascii="宋体" w:hAnsi="宋体"/>
          <w:kern w:val="0"/>
          <w:sz w:val="28"/>
          <w:szCs w:val="28"/>
        </w:rPr>
        <w:t>&gt;</w:t>
      </w:r>
      <w:r w:rsidRPr="0049487D">
        <w:rPr>
          <w:rFonts w:ascii="宋体" w:hAnsi="宋体" w:hint="eastAsia"/>
          <w:kern w:val="0"/>
          <w:sz w:val="28"/>
          <w:szCs w:val="28"/>
        </w:rPr>
        <w:t>申请表》，提交体测实施小组。</w:t>
      </w:r>
    </w:p>
    <w:p w:rsidR="00D4299F" w:rsidRPr="0049487D" w:rsidRDefault="00D4299F" w:rsidP="0049487D">
      <w:pPr>
        <w:spacing w:line="360" w:lineRule="auto"/>
        <w:ind w:firstLineChars="250" w:firstLine="700"/>
        <w:rPr>
          <w:rFonts w:ascii="宋体"/>
          <w:kern w:val="0"/>
          <w:sz w:val="28"/>
          <w:szCs w:val="28"/>
        </w:rPr>
      </w:pPr>
      <w:r w:rsidRPr="0049487D">
        <w:rPr>
          <w:rFonts w:ascii="宋体" w:hAnsi="宋体" w:hint="eastAsia"/>
          <w:kern w:val="0"/>
          <w:sz w:val="28"/>
          <w:szCs w:val="28"/>
        </w:rPr>
        <w:lastRenderedPageBreak/>
        <w:t>本次体质健康标准测试的基本思路如下：（</w:t>
      </w:r>
      <w:r w:rsidRPr="0049487D">
        <w:rPr>
          <w:rFonts w:ascii="宋体" w:hAnsi="宋体"/>
          <w:kern w:val="0"/>
          <w:sz w:val="28"/>
          <w:szCs w:val="28"/>
        </w:rPr>
        <w:t>1</w:t>
      </w:r>
      <w:r w:rsidRPr="0049487D">
        <w:rPr>
          <w:rFonts w:ascii="宋体" w:hAnsi="宋体" w:hint="eastAsia"/>
          <w:kern w:val="0"/>
          <w:sz w:val="28"/>
          <w:szCs w:val="28"/>
        </w:rPr>
        <w:t>）课内外测试相结合，避免参加测试学生人数的过度集中；（</w:t>
      </w:r>
      <w:r w:rsidRPr="0049487D">
        <w:rPr>
          <w:rFonts w:ascii="宋体" w:hAnsi="宋体"/>
          <w:kern w:val="0"/>
          <w:sz w:val="28"/>
          <w:szCs w:val="28"/>
        </w:rPr>
        <w:t>2</w:t>
      </w:r>
      <w:r w:rsidRPr="0049487D">
        <w:rPr>
          <w:rFonts w:ascii="宋体" w:hAnsi="宋体" w:hint="eastAsia"/>
          <w:kern w:val="0"/>
          <w:sz w:val="28"/>
          <w:szCs w:val="28"/>
        </w:rPr>
        <w:t>）今年上半年测试一、二、三年级，下半年测试新生一年级及二、三、四年级补测；（</w:t>
      </w:r>
      <w:r w:rsidRPr="0049487D">
        <w:rPr>
          <w:rFonts w:ascii="宋体" w:hAnsi="宋体"/>
          <w:kern w:val="0"/>
          <w:sz w:val="28"/>
          <w:szCs w:val="28"/>
        </w:rPr>
        <w:t>3</w:t>
      </w:r>
      <w:r w:rsidRPr="0049487D">
        <w:rPr>
          <w:rFonts w:ascii="宋体" w:hAnsi="宋体" w:hint="eastAsia"/>
          <w:kern w:val="0"/>
          <w:sz w:val="28"/>
          <w:szCs w:val="28"/>
        </w:rPr>
        <w:t>）固定开放学生体质健康测试室，要求学生按时间节点参加测试；（</w:t>
      </w:r>
      <w:r w:rsidRPr="0049487D">
        <w:rPr>
          <w:rFonts w:ascii="宋体" w:hAnsi="宋体"/>
          <w:kern w:val="0"/>
          <w:sz w:val="28"/>
          <w:szCs w:val="28"/>
        </w:rPr>
        <w:t>4</w:t>
      </w:r>
      <w:r w:rsidRPr="0049487D">
        <w:rPr>
          <w:rFonts w:ascii="宋体" w:hAnsi="宋体" w:hint="eastAsia"/>
          <w:kern w:val="0"/>
          <w:sz w:val="28"/>
          <w:szCs w:val="28"/>
        </w:rPr>
        <w:t>）建立学生体质健康测试网络查询系统，便于学生及时了解测试状况。</w:t>
      </w:r>
    </w:p>
    <w:p w:rsidR="00D4299F" w:rsidRPr="0049487D" w:rsidRDefault="00D4299F" w:rsidP="0049487D">
      <w:pPr>
        <w:spacing w:line="360" w:lineRule="auto"/>
        <w:ind w:firstLineChars="250" w:firstLine="700"/>
        <w:rPr>
          <w:rFonts w:ascii="宋体"/>
          <w:kern w:val="0"/>
          <w:sz w:val="28"/>
          <w:szCs w:val="28"/>
        </w:rPr>
      </w:pPr>
      <w:r w:rsidRPr="0049487D">
        <w:rPr>
          <w:rFonts w:ascii="宋体" w:hAnsi="宋体" w:hint="eastAsia"/>
          <w:kern w:val="0"/>
          <w:sz w:val="28"/>
          <w:szCs w:val="28"/>
        </w:rPr>
        <w:t>此次体测采取体育课随堂测试、课外常规测试和补测相结合的形式，具体如下：（</w:t>
      </w:r>
      <w:r w:rsidRPr="0049487D">
        <w:rPr>
          <w:rFonts w:ascii="宋体" w:hAnsi="宋体"/>
          <w:kern w:val="0"/>
          <w:sz w:val="28"/>
          <w:szCs w:val="28"/>
        </w:rPr>
        <w:t>1</w:t>
      </w:r>
      <w:r w:rsidRPr="0049487D">
        <w:rPr>
          <w:rFonts w:ascii="宋体" w:hAnsi="宋体" w:hint="eastAsia"/>
          <w:kern w:val="0"/>
          <w:sz w:val="28"/>
          <w:szCs w:val="28"/>
        </w:rPr>
        <w:t>）体育课随堂测试：上半年一、二年级学生，采取体育课随堂测试的方式；下半年新生一年级学生，采取体育课随堂测试的方式。（</w:t>
      </w:r>
      <w:r w:rsidRPr="0049487D">
        <w:rPr>
          <w:rFonts w:ascii="宋体" w:hAnsi="宋体"/>
          <w:kern w:val="0"/>
          <w:sz w:val="28"/>
          <w:szCs w:val="28"/>
        </w:rPr>
        <w:t>2</w:t>
      </w:r>
      <w:r w:rsidRPr="0049487D">
        <w:rPr>
          <w:rFonts w:ascii="宋体" w:hAnsi="宋体" w:hint="eastAsia"/>
          <w:kern w:val="0"/>
          <w:sz w:val="28"/>
          <w:szCs w:val="28"/>
        </w:rPr>
        <w:t>）课外常规测试：上半年，全校三年级学生采取课外常规测试，由各学院指定负责指导员老师带领全院三年级学生按时间统一参加测试。（</w:t>
      </w:r>
      <w:r w:rsidRPr="0049487D">
        <w:rPr>
          <w:rFonts w:ascii="宋体" w:hAnsi="宋体"/>
          <w:kern w:val="0"/>
          <w:sz w:val="28"/>
          <w:szCs w:val="28"/>
        </w:rPr>
        <w:t>3</w:t>
      </w:r>
      <w:r w:rsidRPr="0049487D">
        <w:rPr>
          <w:rFonts w:ascii="宋体" w:hAnsi="宋体" w:hint="eastAsia"/>
          <w:kern w:val="0"/>
          <w:sz w:val="28"/>
          <w:szCs w:val="28"/>
        </w:rPr>
        <w:t>）补测：本次学生体质健康测试工作补测工作统一安排在下半年进行，所有测试成绩未达到合格的同学（包括下半年未参加随堂测试的新生）须在下半年课外常规测试期间参加补测。进行学生体测工作前期，我校结合市教委体测联系中心、上海市部分高校以及体侧维护供应商情况了解，并同时召开对大学生体质测试新规的协调会议，初步思路为：课内外测试相结合，避免参加</w:t>
      </w:r>
      <w:r w:rsidRPr="0049487D">
        <w:rPr>
          <w:rFonts w:hint="eastAsia"/>
          <w:sz w:val="28"/>
          <w:szCs w:val="28"/>
        </w:rPr>
        <w:t>测试学生人数的过度集中；固定开放学生体质健康测试室，要求学生按时间节点参加测试；建立学生体质健康测试网络查询系统，便于学生及时了解测试状况。</w:t>
      </w:r>
      <w:r w:rsidRPr="0049487D">
        <w:rPr>
          <w:rFonts w:ascii="宋体" w:hAnsi="宋体" w:hint="eastAsia"/>
          <w:kern w:val="0"/>
          <w:sz w:val="28"/>
          <w:szCs w:val="28"/>
        </w:rPr>
        <w:t>不断完善</w:t>
      </w:r>
      <w:r w:rsidRPr="0049487D">
        <w:rPr>
          <w:rFonts w:ascii="宋体" w:hAnsi="宋体"/>
          <w:kern w:val="0"/>
          <w:sz w:val="28"/>
          <w:szCs w:val="28"/>
        </w:rPr>
        <w:t>2014</w:t>
      </w:r>
      <w:r w:rsidRPr="0049487D">
        <w:rPr>
          <w:rFonts w:ascii="宋体" w:hAnsi="宋体" w:hint="eastAsia"/>
          <w:kern w:val="0"/>
          <w:sz w:val="28"/>
          <w:szCs w:val="28"/>
        </w:rPr>
        <w:t>年学生体制新规健康测试实施方案，提前部署此项测试工作。</w:t>
      </w:r>
    </w:p>
    <w:p w:rsidR="00D4299F" w:rsidRPr="0049487D" w:rsidRDefault="00D4299F" w:rsidP="002259A4">
      <w:pPr>
        <w:widowControl/>
        <w:shd w:val="clear" w:color="auto" w:fill="FFFFFF"/>
        <w:spacing w:line="360" w:lineRule="auto"/>
        <w:jc w:val="left"/>
        <w:rPr>
          <w:rFonts w:ascii="黑体" w:eastAsia="黑体" w:hAnsi="黑体"/>
          <w:b/>
          <w:kern w:val="0"/>
          <w:sz w:val="28"/>
          <w:szCs w:val="28"/>
        </w:rPr>
      </w:pPr>
      <w:r w:rsidRPr="0049487D">
        <w:rPr>
          <w:rFonts w:ascii="黑体" w:eastAsia="黑体" w:hAnsi="黑体" w:hint="eastAsia"/>
          <w:b/>
          <w:sz w:val="28"/>
          <w:szCs w:val="28"/>
        </w:rPr>
        <w:t>二、落实实施：认真组织测试，加强安全措施</w:t>
      </w:r>
    </w:p>
    <w:p w:rsidR="00D4299F" w:rsidRPr="0049487D" w:rsidRDefault="00D4299F" w:rsidP="0049487D">
      <w:pPr>
        <w:spacing w:line="360" w:lineRule="auto"/>
        <w:ind w:firstLineChars="250" w:firstLine="700"/>
        <w:rPr>
          <w:sz w:val="28"/>
          <w:szCs w:val="28"/>
        </w:rPr>
      </w:pPr>
      <w:r w:rsidRPr="0049487D">
        <w:rPr>
          <w:rFonts w:hint="eastAsia"/>
          <w:sz w:val="28"/>
          <w:szCs w:val="28"/>
        </w:rPr>
        <w:t>测试是实施《标准》工作中比较复杂的环节。我校为了切实落</w:t>
      </w:r>
      <w:r w:rsidRPr="0049487D">
        <w:rPr>
          <w:rFonts w:hint="eastAsia"/>
          <w:sz w:val="28"/>
          <w:szCs w:val="28"/>
        </w:rPr>
        <w:lastRenderedPageBreak/>
        <w:t>实《标准》要求，成立了体测工作管理小组，本次测试由张继平院长任管理小组组长</w:t>
      </w:r>
      <w:r w:rsidRPr="0049487D">
        <w:rPr>
          <w:sz w:val="28"/>
          <w:szCs w:val="28"/>
        </w:rPr>
        <w:t>,</w:t>
      </w:r>
      <w:r w:rsidRPr="0049487D">
        <w:rPr>
          <w:rFonts w:hint="eastAsia"/>
          <w:sz w:val="28"/>
          <w:szCs w:val="28"/>
        </w:rPr>
        <w:t>叶鸣主任任体测实施小组组长，教务处、后勤管理处、保卫处、各学院负责人以及全体体育教师参与。具体包括：体测实施方案及测试工作计划的编制、教师与学生助理的管理、测试设备与场地的管理，现场秩序的维护、测试结果的统计与上报，及时向体测工作管理小组报告体测工作进展情况和遇到的问题等。测试安排在体育馆部分场所进行。为避免测试数据统计结果出来而无时间补测影响体测成绩，采取上、下半年两次各年级有序开展的方法，使测试更加合理与人性化。</w:t>
      </w:r>
    </w:p>
    <w:p w:rsidR="00D4299F" w:rsidRPr="0049487D" w:rsidRDefault="00D4299F" w:rsidP="0049487D">
      <w:pPr>
        <w:spacing w:line="360" w:lineRule="auto"/>
        <w:ind w:firstLineChars="250" w:firstLine="700"/>
        <w:rPr>
          <w:sz w:val="28"/>
          <w:szCs w:val="28"/>
        </w:rPr>
      </w:pPr>
      <w:r w:rsidRPr="0049487D">
        <w:rPr>
          <w:rFonts w:hint="eastAsia"/>
          <w:sz w:val="28"/>
          <w:szCs w:val="28"/>
        </w:rPr>
        <w:t>今年体测是上海市制定测试标准后的第一次普及性测试，与前两年测试不同，此次体测三年级学生由抽测变为全测，测试人数增加，工作量加大，安全保障、保证秩序工作尤为重要。我校体育部教师加班加点制定了详细的测试方案，安排了教师轮流值班、并聘请部分学生志愿者负责后勤保障等工作。同时，学校门诊部负责学生体质测试医疗救护工作，拟定了《</w:t>
      </w:r>
      <w:r w:rsidRPr="0049487D">
        <w:rPr>
          <w:sz w:val="28"/>
          <w:szCs w:val="28"/>
        </w:rPr>
        <w:t>2015</w:t>
      </w:r>
      <w:r w:rsidRPr="0049487D">
        <w:rPr>
          <w:rFonts w:hint="eastAsia"/>
          <w:sz w:val="28"/>
          <w:szCs w:val="28"/>
        </w:rPr>
        <w:t>年学生体质测试医疗应急预案》，配合体测工作的顺利进行。</w:t>
      </w:r>
    </w:p>
    <w:p w:rsidR="00D4299F" w:rsidRPr="0049487D" w:rsidRDefault="00D4299F" w:rsidP="002259A4">
      <w:pPr>
        <w:widowControl/>
        <w:shd w:val="clear" w:color="auto" w:fill="FFFFFF"/>
        <w:spacing w:line="360" w:lineRule="auto"/>
        <w:jc w:val="left"/>
        <w:rPr>
          <w:rFonts w:ascii="黑体" w:eastAsia="黑体" w:hAnsi="黑体"/>
          <w:b/>
          <w:kern w:val="0"/>
          <w:sz w:val="28"/>
          <w:szCs w:val="28"/>
        </w:rPr>
      </w:pPr>
      <w:r w:rsidRPr="0049487D">
        <w:rPr>
          <w:rFonts w:ascii="黑体" w:eastAsia="黑体" w:hAnsi="黑体" w:hint="eastAsia"/>
          <w:b/>
          <w:sz w:val="28"/>
          <w:szCs w:val="28"/>
        </w:rPr>
        <w:t>三、后期总结：分析测试结果，探讨问题经验</w:t>
      </w:r>
    </w:p>
    <w:p w:rsidR="00D4299F" w:rsidRDefault="00D4299F" w:rsidP="0049487D">
      <w:pPr>
        <w:spacing w:line="360" w:lineRule="auto"/>
        <w:ind w:firstLineChars="250" w:firstLine="700"/>
        <w:rPr>
          <w:rFonts w:ascii="宋体"/>
          <w:sz w:val="28"/>
          <w:szCs w:val="28"/>
        </w:rPr>
      </w:pPr>
      <w:r w:rsidRPr="0049487D">
        <w:rPr>
          <w:rFonts w:ascii="宋体" w:hAnsi="宋体"/>
          <w:sz w:val="28"/>
          <w:szCs w:val="28"/>
        </w:rPr>
        <w:t>2015</w:t>
      </w:r>
      <w:r w:rsidRPr="0049487D">
        <w:rPr>
          <w:rFonts w:ascii="宋体" w:hAnsi="宋体" w:hint="eastAsia"/>
          <w:sz w:val="28"/>
          <w:szCs w:val="28"/>
        </w:rPr>
        <w:t>年上半年春季学期第七周至第十一周为二、三年级学生的体育课堂随堂测试期及四年级的课外常规测试期。</w:t>
      </w:r>
      <w:r w:rsidRPr="0049487D">
        <w:rPr>
          <w:rFonts w:ascii="宋体" w:hAnsi="宋体"/>
          <w:sz w:val="28"/>
          <w:szCs w:val="28"/>
        </w:rPr>
        <w:t>2015</w:t>
      </w:r>
      <w:r w:rsidRPr="0049487D">
        <w:rPr>
          <w:rFonts w:ascii="宋体" w:hAnsi="宋体" w:hint="eastAsia"/>
          <w:sz w:val="28"/>
          <w:szCs w:val="28"/>
        </w:rPr>
        <w:t>年下半年秋季学期第六周至第八周为一年级新生的体育课堂随堂测试期，同时，所有测试成绩未达到合格的同学（包括测试未达合格的新生）也可在下半年秋季学期第七周至第九周课外常规测试中进行补测。在此期</w:t>
      </w:r>
      <w:r w:rsidRPr="0049487D">
        <w:rPr>
          <w:rFonts w:ascii="宋体" w:hAnsi="宋体" w:hint="eastAsia"/>
          <w:sz w:val="28"/>
          <w:szCs w:val="28"/>
        </w:rPr>
        <w:lastRenderedPageBreak/>
        <w:t>间，各学院体测分析报告如下：</w:t>
      </w:r>
    </w:p>
    <w:p w:rsidR="00D4299F" w:rsidRPr="0049487D" w:rsidRDefault="00D4299F" w:rsidP="0049487D">
      <w:pPr>
        <w:spacing w:line="360" w:lineRule="auto"/>
        <w:ind w:firstLineChars="250" w:firstLine="700"/>
        <w:rPr>
          <w:rFonts w:ascii="宋体"/>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4"/>
        <w:gridCol w:w="741"/>
        <w:gridCol w:w="741"/>
        <w:gridCol w:w="704"/>
        <w:gridCol w:w="1080"/>
        <w:gridCol w:w="1080"/>
        <w:gridCol w:w="1260"/>
        <w:gridCol w:w="1260"/>
        <w:gridCol w:w="1080"/>
        <w:gridCol w:w="1416"/>
      </w:tblGrid>
      <w:tr w:rsidR="00D4299F" w:rsidRPr="002259A4" w:rsidTr="00771FBA">
        <w:trPr>
          <w:trHeight w:val="317"/>
          <w:jc w:val="center"/>
        </w:trPr>
        <w:tc>
          <w:tcPr>
            <w:tcW w:w="1364" w:type="dxa"/>
          </w:tcPr>
          <w:p w:rsidR="00D4299F" w:rsidRPr="00F145F7" w:rsidRDefault="00D4299F" w:rsidP="00F145F7">
            <w:pPr>
              <w:spacing w:line="360" w:lineRule="auto"/>
              <w:jc w:val="center"/>
              <w:rPr>
                <w:rFonts w:ascii="宋体"/>
                <w:b/>
                <w:kern w:val="0"/>
                <w:szCs w:val="21"/>
              </w:rPr>
            </w:pPr>
            <w:r w:rsidRPr="00F145F7">
              <w:rPr>
                <w:rFonts w:ascii="宋体" w:hAnsi="宋体" w:hint="eastAsia"/>
                <w:b/>
                <w:kern w:val="0"/>
                <w:szCs w:val="21"/>
              </w:rPr>
              <w:t>各学院</w:t>
            </w:r>
          </w:p>
        </w:tc>
        <w:tc>
          <w:tcPr>
            <w:tcW w:w="741" w:type="dxa"/>
          </w:tcPr>
          <w:p w:rsidR="00D4299F" w:rsidRPr="00F145F7" w:rsidRDefault="00D4299F" w:rsidP="00F145F7">
            <w:pPr>
              <w:spacing w:line="360" w:lineRule="auto"/>
              <w:jc w:val="center"/>
              <w:rPr>
                <w:rFonts w:ascii="宋体"/>
                <w:b/>
                <w:kern w:val="0"/>
                <w:szCs w:val="21"/>
              </w:rPr>
            </w:pPr>
            <w:r w:rsidRPr="00F145F7">
              <w:rPr>
                <w:rFonts w:ascii="宋体" w:hAnsi="宋体" w:hint="eastAsia"/>
                <w:b/>
                <w:kern w:val="0"/>
                <w:szCs w:val="21"/>
              </w:rPr>
              <w:t>应测人数</w:t>
            </w:r>
          </w:p>
        </w:tc>
        <w:tc>
          <w:tcPr>
            <w:tcW w:w="741" w:type="dxa"/>
          </w:tcPr>
          <w:p w:rsidR="00D4299F" w:rsidRPr="00F145F7" w:rsidRDefault="00D4299F" w:rsidP="00F145F7">
            <w:pPr>
              <w:spacing w:line="360" w:lineRule="auto"/>
              <w:jc w:val="center"/>
              <w:rPr>
                <w:rFonts w:ascii="宋体"/>
                <w:b/>
                <w:kern w:val="0"/>
                <w:szCs w:val="21"/>
              </w:rPr>
            </w:pPr>
            <w:r w:rsidRPr="00F145F7">
              <w:rPr>
                <w:rFonts w:ascii="宋体" w:hAnsi="宋体" w:hint="eastAsia"/>
                <w:b/>
                <w:kern w:val="0"/>
                <w:szCs w:val="21"/>
              </w:rPr>
              <w:t>实测人数</w:t>
            </w:r>
          </w:p>
        </w:tc>
        <w:tc>
          <w:tcPr>
            <w:tcW w:w="704" w:type="dxa"/>
          </w:tcPr>
          <w:p w:rsidR="00D4299F" w:rsidRPr="00F145F7" w:rsidRDefault="00D4299F" w:rsidP="00771FBA">
            <w:pPr>
              <w:spacing w:line="360" w:lineRule="auto"/>
              <w:jc w:val="center"/>
              <w:rPr>
                <w:rFonts w:ascii="宋体"/>
                <w:b/>
                <w:kern w:val="0"/>
                <w:szCs w:val="21"/>
              </w:rPr>
            </w:pPr>
            <w:r>
              <w:rPr>
                <w:rFonts w:ascii="宋体" w:hAnsi="宋体" w:hint="eastAsia"/>
                <w:b/>
                <w:kern w:val="0"/>
                <w:szCs w:val="21"/>
              </w:rPr>
              <w:t>免测人数</w:t>
            </w:r>
          </w:p>
        </w:tc>
        <w:tc>
          <w:tcPr>
            <w:tcW w:w="1080" w:type="dxa"/>
          </w:tcPr>
          <w:p w:rsidR="00D4299F" w:rsidRPr="00F145F7" w:rsidRDefault="00D4299F" w:rsidP="00F145F7">
            <w:pPr>
              <w:spacing w:line="360" w:lineRule="auto"/>
              <w:jc w:val="center"/>
              <w:rPr>
                <w:rFonts w:ascii="宋体"/>
                <w:b/>
                <w:kern w:val="0"/>
                <w:szCs w:val="21"/>
              </w:rPr>
            </w:pPr>
            <w:r w:rsidRPr="00F145F7">
              <w:rPr>
                <w:rFonts w:ascii="宋体" w:hAnsi="宋体" w:hint="eastAsia"/>
                <w:b/>
                <w:kern w:val="0"/>
                <w:szCs w:val="21"/>
              </w:rPr>
              <w:t>优秀率</w:t>
            </w:r>
          </w:p>
        </w:tc>
        <w:tc>
          <w:tcPr>
            <w:tcW w:w="1080" w:type="dxa"/>
          </w:tcPr>
          <w:p w:rsidR="00D4299F" w:rsidRPr="00F145F7" w:rsidRDefault="00D4299F" w:rsidP="00F145F7">
            <w:pPr>
              <w:spacing w:line="360" w:lineRule="auto"/>
              <w:jc w:val="center"/>
              <w:rPr>
                <w:rFonts w:ascii="宋体"/>
                <w:b/>
                <w:kern w:val="0"/>
                <w:szCs w:val="21"/>
              </w:rPr>
            </w:pPr>
            <w:r w:rsidRPr="00F145F7">
              <w:rPr>
                <w:rFonts w:ascii="宋体" w:hAnsi="宋体" w:hint="eastAsia"/>
                <w:b/>
                <w:kern w:val="0"/>
                <w:szCs w:val="21"/>
              </w:rPr>
              <w:t>良好率</w:t>
            </w:r>
          </w:p>
        </w:tc>
        <w:tc>
          <w:tcPr>
            <w:tcW w:w="1260" w:type="dxa"/>
          </w:tcPr>
          <w:p w:rsidR="00D4299F" w:rsidRPr="00F145F7" w:rsidRDefault="00D4299F" w:rsidP="00F145F7">
            <w:pPr>
              <w:spacing w:line="360" w:lineRule="auto"/>
              <w:jc w:val="center"/>
              <w:rPr>
                <w:rFonts w:ascii="宋体"/>
                <w:b/>
                <w:kern w:val="0"/>
                <w:szCs w:val="21"/>
              </w:rPr>
            </w:pPr>
            <w:r w:rsidRPr="00F145F7">
              <w:rPr>
                <w:rFonts w:ascii="宋体" w:hAnsi="宋体" w:hint="eastAsia"/>
                <w:b/>
                <w:kern w:val="0"/>
                <w:szCs w:val="21"/>
              </w:rPr>
              <w:t>及格率</w:t>
            </w:r>
          </w:p>
        </w:tc>
        <w:tc>
          <w:tcPr>
            <w:tcW w:w="1260" w:type="dxa"/>
          </w:tcPr>
          <w:p w:rsidR="00D4299F" w:rsidRPr="00F145F7" w:rsidRDefault="00D4299F" w:rsidP="00F145F7">
            <w:pPr>
              <w:spacing w:line="360" w:lineRule="auto"/>
              <w:jc w:val="center"/>
              <w:rPr>
                <w:rFonts w:ascii="宋体"/>
                <w:b/>
                <w:kern w:val="0"/>
                <w:szCs w:val="21"/>
              </w:rPr>
            </w:pPr>
            <w:r w:rsidRPr="00F145F7">
              <w:rPr>
                <w:rFonts w:ascii="宋体" w:hAnsi="宋体" w:hint="eastAsia"/>
                <w:b/>
                <w:kern w:val="0"/>
                <w:szCs w:val="21"/>
              </w:rPr>
              <w:t>不及格率</w:t>
            </w:r>
          </w:p>
        </w:tc>
        <w:tc>
          <w:tcPr>
            <w:tcW w:w="1080" w:type="dxa"/>
          </w:tcPr>
          <w:p w:rsidR="00D4299F" w:rsidRPr="00F145F7" w:rsidRDefault="00D4299F" w:rsidP="00771FBA">
            <w:pPr>
              <w:spacing w:line="360" w:lineRule="auto"/>
              <w:jc w:val="center"/>
              <w:rPr>
                <w:rFonts w:ascii="宋体"/>
                <w:b/>
                <w:kern w:val="0"/>
                <w:szCs w:val="21"/>
              </w:rPr>
            </w:pPr>
            <w:r>
              <w:rPr>
                <w:rFonts w:ascii="宋体" w:hAnsi="宋体" w:hint="eastAsia"/>
                <w:b/>
                <w:kern w:val="0"/>
                <w:szCs w:val="21"/>
              </w:rPr>
              <w:t>免测率</w:t>
            </w:r>
          </w:p>
        </w:tc>
        <w:tc>
          <w:tcPr>
            <w:tcW w:w="1416" w:type="dxa"/>
          </w:tcPr>
          <w:p w:rsidR="00D4299F" w:rsidRPr="00F145F7" w:rsidRDefault="00D4299F" w:rsidP="00F145F7">
            <w:pPr>
              <w:spacing w:line="360" w:lineRule="auto"/>
              <w:jc w:val="center"/>
              <w:rPr>
                <w:rFonts w:ascii="宋体"/>
                <w:b/>
                <w:kern w:val="0"/>
                <w:szCs w:val="21"/>
              </w:rPr>
            </w:pPr>
            <w:r w:rsidRPr="00F145F7">
              <w:rPr>
                <w:rFonts w:ascii="宋体" w:hAnsi="宋体" w:hint="eastAsia"/>
                <w:b/>
                <w:kern w:val="0"/>
                <w:szCs w:val="21"/>
              </w:rPr>
              <w:t>未测率</w:t>
            </w:r>
          </w:p>
        </w:tc>
      </w:tr>
      <w:tr w:rsidR="00D4299F" w:rsidRPr="002259A4" w:rsidTr="00771FBA">
        <w:tblPrEx>
          <w:tblLook w:val="0000" w:firstRow="0" w:lastRow="0" w:firstColumn="0" w:lastColumn="0" w:noHBand="0" w:noVBand="0"/>
        </w:tblPrEx>
        <w:trPr>
          <w:trHeight w:val="423"/>
          <w:jc w:val="center"/>
        </w:trPr>
        <w:tc>
          <w:tcPr>
            <w:tcW w:w="1364" w:type="dxa"/>
          </w:tcPr>
          <w:p w:rsidR="00D4299F" w:rsidRPr="00F145F7" w:rsidRDefault="00D4299F" w:rsidP="00F145F7">
            <w:pPr>
              <w:spacing w:line="360" w:lineRule="auto"/>
              <w:jc w:val="center"/>
              <w:rPr>
                <w:rFonts w:ascii="宋体"/>
                <w:kern w:val="0"/>
                <w:szCs w:val="21"/>
              </w:rPr>
            </w:pPr>
            <w:r w:rsidRPr="00F145F7">
              <w:rPr>
                <w:rFonts w:ascii="宋体" w:hAnsi="宋体" w:hint="eastAsia"/>
                <w:kern w:val="0"/>
                <w:szCs w:val="21"/>
              </w:rPr>
              <w:t>全校</w:t>
            </w:r>
          </w:p>
        </w:tc>
        <w:tc>
          <w:tcPr>
            <w:tcW w:w="741" w:type="dxa"/>
          </w:tcPr>
          <w:p w:rsidR="00D4299F" w:rsidRPr="00F145F7" w:rsidRDefault="00D4299F" w:rsidP="00F145F7">
            <w:pPr>
              <w:spacing w:line="360" w:lineRule="auto"/>
              <w:jc w:val="center"/>
              <w:rPr>
                <w:rFonts w:ascii="宋体" w:hAnsi="宋体"/>
                <w:kern w:val="0"/>
                <w:szCs w:val="21"/>
              </w:rPr>
            </w:pPr>
            <w:r w:rsidRPr="00F145F7">
              <w:rPr>
                <w:rFonts w:ascii="宋体" w:hAnsi="宋体"/>
                <w:kern w:val="0"/>
                <w:szCs w:val="21"/>
              </w:rPr>
              <w:t>12268</w:t>
            </w:r>
          </w:p>
        </w:tc>
        <w:tc>
          <w:tcPr>
            <w:tcW w:w="741" w:type="dxa"/>
          </w:tcPr>
          <w:p w:rsidR="00D4299F" w:rsidRPr="00F145F7" w:rsidRDefault="00D4299F" w:rsidP="00F145F7">
            <w:pPr>
              <w:spacing w:line="360" w:lineRule="auto"/>
              <w:jc w:val="center"/>
              <w:rPr>
                <w:rFonts w:ascii="宋体" w:hAnsi="宋体"/>
                <w:kern w:val="0"/>
                <w:szCs w:val="21"/>
              </w:rPr>
            </w:pPr>
            <w:r w:rsidRPr="00F145F7">
              <w:rPr>
                <w:rFonts w:ascii="宋体" w:hAnsi="宋体"/>
                <w:kern w:val="0"/>
                <w:szCs w:val="21"/>
              </w:rPr>
              <w:t>11716</w:t>
            </w:r>
          </w:p>
        </w:tc>
        <w:tc>
          <w:tcPr>
            <w:tcW w:w="704" w:type="dxa"/>
            <w:vMerge w:val="restart"/>
          </w:tcPr>
          <w:p w:rsidR="00D4299F" w:rsidRPr="00F145F7" w:rsidRDefault="00D4299F" w:rsidP="00771FBA">
            <w:pPr>
              <w:spacing w:line="360" w:lineRule="auto"/>
              <w:jc w:val="center"/>
              <w:rPr>
                <w:rFonts w:ascii="宋体" w:cs="宋体"/>
                <w:kern w:val="0"/>
                <w:szCs w:val="21"/>
              </w:rPr>
            </w:pPr>
            <w:r>
              <w:rPr>
                <w:rFonts w:ascii="宋体" w:hAnsi="宋体" w:cs="宋体"/>
                <w:kern w:val="0"/>
                <w:szCs w:val="21"/>
              </w:rPr>
              <w:t>203</w:t>
            </w:r>
          </w:p>
        </w:tc>
        <w:tc>
          <w:tcPr>
            <w:tcW w:w="1080" w:type="dxa"/>
          </w:tcPr>
          <w:p w:rsidR="00D4299F" w:rsidRPr="00F145F7" w:rsidRDefault="00D4299F" w:rsidP="00F145F7">
            <w:pPr>
              <w:spacing w:line="360" w:lineRule="auto"/>
              <w:jc w:val="center"/>
              <w:rPr>
                <w:rFonts w:ascii="宋体" w:cs="宋体"/>
                <w:kern w:val="0"/>
                <w:szCs w:val="21"/>
              </w:rPr>
            </w:pPr>
            <w:r>
              <w:rPr>
                <w:rFonts w:ascii="宋体" w:hAnsi="宋体"/>
                <w:kern w:val="0"/>
                <w:szCs w:val="21"/>
              </w:rPr>
              <w:t>4.38</w:t>
            </w:r>
            <w:r w:rsidRPr="00F145F7">
              <w:rPr>
                <w:rFonts w:ascii="宋体" w:hAnsi="宋体"/>
                <w:kern w:val="0"/>
                <w:szCs w:val="21"/>
              </w:rPr>
              <w:t>%</w:t>
            </w:r>
          </w:p>
        </w:tc>
        <w:tc>
          <w:tcPr>
            <w:tcW w:w="1080" w:type="dxa"/>
          </w:tcPr>
          <w:p w:rsidR="00D4299F" w:rsidRPr="00F145F7" w:rsidRDefault="00D4299F" w:rsidP="00F145F7">
            <w:pPr>
              <w:spacing w:line="360" w:lineRule="auto"/>
              <w:jc w:val="center"/>
              <w:rPr>
                <w:rFonts w:ascii="宋体" w:cs="宋体"/>
                <w:kern w:val="0"/>
                <w:szCs w:val="21"/>
              </w:rPr>
            </w:pPr>
            <w:r w:rsidRPr="00F145F7">
              <w:rPr>
                <w:rFonts w:ascii="宋体" w:hAnsi="宋体"/>
                <w:kern w:val="0"/>
                <w:szCs w:val="21"/>
              </w:rPr>
              <w:t>30.36%</w:t>
            </w:r>
          </w:p>
        </w:tc>
        <w:tc>
          <w:tcPr>
            <w:tcW w:w="1260" w:type="dxa"/>
          </w:tcPr>
          <w:p w:rsidR="00D4299F" w:rsidRPr="00F145F7" w:rsidRDefault="00D4299F" w:rsidP="00F145F7">
            <w:pPr>
              <w:spacing w:line="360" w:lineRule="auto"/>
              <w:jc w:val="center"/>
              <w:rPr>
                <w:rFonts w:ascii="宋体" w:cs="宋体"/>
                <w:kern w:val="0"/>
                <w:szCs w:val="21"/>
              </w:rPr>
            </w:pPr>
            <w:r w:rsidRPr="00F145F7">
              <w:rPr>
                <w:rFonts w:ascii="宋体" w:hAnsi="宋体"/>
                <w:kern w:val="0"/>
                <w:szCs w:val="21"/>
              </w:rPr>
              <w:t>58.13%</w:t>
            </w:r>
          </w:p>
        </w:tc>
        <w:tc>
          <w:tcPr>
            <w:tcW w:w="1260" w:type="dxa"/>
          </w:tcPr>
          <w:p w:rsidR="00D4299F" w:rsidRPr="00F145F7" w:rsidRDefault="00D4299F" w:rsidP="00F145F7">
            <w:pPr>
              <w:spacing w:line="360" w:lineRule="auto"/>
              <w:jc w:val="center"/>
              <w:rPr>
                <w:rFonts w:ascii="宋体" w:cs="宋体"/>
                <w:kern w:val="0"/>
                <w:szCs w:val="21"/>
              </w:rPr>
            </w:pPr>
            <w:r w:rsidRPr="00F145F7">
              <w:rPr>
                <w:rFonts w:ascii="宋体" w:hAnsi="宋体"/>
                <w:kern w:val="0"/>
                <w:szCs w:val="21"/>
              </w:rPr>
              <w:t>2.64%</w:t>
            </w:r>
          </w:p>
        </w:tc>
        <w:tc>
          <w:tcPr>
            <w:tcW w:w="1080" w:type="dxa"/>
            <w:vMerge w:val="restart"/>
          </w:tcPr>
          <w:p w:rsidR="00D4299F" w:rsidRPr="00F145F7" w:rsidRDefault="00D4299F" w:rsidP="00771FBA">
            <w:pPr>
              <w:spacing w:line="360" w:lineRule="auto"/>
              <w:jc w:val="center"/>
              <w:rPr>
                <w:rFonts w:ascii="宋体" w:cs="宋体"/>
                <w:kern w:val="0"/>
                <w:szCs w:val="21"/>
              </w:rPr>
            </w:pPr>
            <w:r>
              <w:rPr>
                <w:rFonts w:ascii="宋体" w:hAnsi="宋体" w:cs="宋体"/>
                <w:kern w:val="0"/>
                <w:szCs w:val="21"/>
              </w:rPr>
              <w:t>1.65%</w:t>
            </w:r>
          </w:p>
        </w:tc>
        <w:tc>
          <w:tcPr>
            <w:tcW w:w="1416" w:type="dxa"/>
            <w:vMerge w:val="restart"/>
          </w:tcPr>
          <w:p w:rsidR="00D4299F" w:rsidRPr="00F145F7" w:rsidRDefault="00D4299F" w:rsidP="00F145F7">
            <w:pPr>
              <w:spacing w:line="360" w:lineRule="auto"/>
              <w:jc w:val="center"/>
              <w:rPr>
                <w:rFonts w:ascii="宋体" w:cs="宋体"/>
                <w:kern w:val="0"/>
                <w:szCs w:val="21"/>
              </w:rPr>
            </w:pPr>
            <w:r>
              <w:rPr>
                <w:rFonts w:ascii="宋体" w:hAnsi="宋体"/>
                <w:kern w:val="0"/>
                <w:szCs w:val="21"/>
              </w:rPr>
              <w:t>2.84</w:t>
            </w:r>
            <w:r w:rsidRPr="00F145F7">
              <w:rPr>
                <w:rFonts w:ascii="宋体" w:hAnsi="宋体"/>
                <w:kern w:val="0"/>
                <w:szCs w:val="21"/>
              </w:rPr>
              <w:t>%</w:t>
            </w:r>
          </w:p>
        </w:tc>
      </w:tr>
      <w:tr w:rsidR="00D4299F" w:rsidRPr="002259A4" w:rsidTr="00771FBA">
        <w:trPr>
          <w:trHeight w:val="432"/>
          <w:jc w:val="center"/>
        </w:trPr>
        <w:tc>
          <w:tcPr>
            <w:tcW w:w="1364" w:type="dxa"/>
          </w:tcPr>
          <w:p w:rsidR="00D4299F" w:rsidRPr="00F145F7" w:rsidRDefault="00D4299F" w:rsidP="00F145F7">
            <w:pPr>
              <w:spacing w:line="360" w:lineRule="auto"/>
              <w:jc w:val="center"/>
              <w:rPr>
                <w:rFonts w:ascii="宋体"/>
                <w:kern w:val="0"/>
                <w:szCs w:val="21"/>
              </w:rPr>
            </w:pPr>
            <w:r w:rsidRPr="00F145F7">
              <w:rPr>
                <w:rFonts w:ascii="宋体" w:hAnsi="宋体" w:hint="eastAsia"/>
                <w:kern w:val="0"/>
                <w:szCs w:val="21"/>
              </w:rPr>
              <w:t>人文学院</w:t>
            </w:r>
          </w:p>
        </w:tc>
        <w:tc>
          <w:tcPr>
            <w:tcW w:w="741" w:type="dxa"/>
          </w:tcPr>
          <w:p w:rsidR="00D4299F" w:rsidRPr="00F145F7" w:rsidRDefault="00D4299F" w:rsidP="00F145F7">
            <w:pPr>
              <w:spacing w:line="360" w:lineRule="auto"/>
              <w:jc w:val="center"/>
              <w:rPr>
                <w:rFonts w:ascii="宋体" w:hAnsi="宋体"/>
                <w:kern w:val="0"/>
                <w:szCs w:val="21"/>
              </w:rPr>
            </w:pPr>
            <w:r w:rsidRPr="00F145F7">
              <w:rPr>
                <w:rFonts w:ascii="宋体" w:hAnsi="宋体"/>
                <w:kern w:val="0"/>
                <w:szCs w:val="21"/>
              </w:rPr>
              <w:t>778</w:t>
            </w:r>
          </w:p>
        </w:tc>
        <w:tc>
          <w:tcPr>
            <w:tcW w:w="741" w:type="dxa"/>
          </w:tcPr>
          <w:p w:rsidR="00D4299F" w:rsidRPr="00F145F7" w:rsidRDefault="00D4299F" w:rsidP="00F145F7">
            <w:pPr>
              <w:spacing w:line="360" w:lineRule="auto"/>
              <w:jc w:val="center"/>
              <w:rPr>
                <w:rFonts w:ascii="宋体" w:hAnsi="宋体"/>
                <w:kern w:val="0"/>
                <w:szCs w:val="21"/>
              </w:rPr>
            </w:pPr>
            <w:r w:rsidRPr="00F145F7">
              <w:rPr>
                <w:rFonts w:ascii="宋体" w:hAnsi="宋体"/>
                <w:kern w:val="0"/>
                <w:szCs w:val="21"/>
              </w:rPr>
              <w:t>752</w:t>
            </w:r>
          </w:p>
        </w:tc>
        <w:tc>
          <w:tcPr>
            <w:tcW w:w="704" w:type="dxa"/>
            <w:vMerge/>
          </w:tcPr>
          <w:p w:rsidR="00D4299F" w:rsidRPr="00F145F7" w:rsidRDefault="00D4299F" w:rsidP="00771FBA">
            <w:pPr>
              <w:spacing w:line="360" w:lineRule="auto"/>
              <w:jc w:val="center"/>
              <w:rPr>
                <w:rFonts w:ascii="宋体" w:cs="宋体"/>
                <w:kern w:val="0"/>
                <w:szCs w:val="21"/>
              </w:rPr>
            </w:pPr>
          </w:p>
        </w:tc>
        <w:tc>
          <w:tcPr>
            <w:tcW w:w="1080" w:type="dxa"/>
          </w:tcPr>
          <w:p w:rsidR="00D4299F" w:rsidRPr="00F145F7" w:rsidRDefault="00D4299F" w:rsidP="00F145F7">
            <w:pPr>
              <w:spacing w:line="360" w:lineRule="auto"/>
              <w:jc w:val="center"/>
              <w:rPr>
                <w:rFonts w:ascii="宋体" w:cs="宋体"/>
                <w:kern w:val="0"/>
                <w:szCs w:val="21"/>
              </w:rPr>
            </w:pPr>
            <w:r w:rsidRPr="00F145F7">
              <w:rPr>
                <w:rFonts w:ascii="宋体" w:hAnsi="宋体"/>
                <w:kern w:val="0"/>
                <w:szCs w:val="21"/>
              </w:rPr>
              <w:t>2.31%</w:t>
            </w:r>
          </w:p>
        </w:tc>
        <w:tc>
          <w:tcPr>
            <w:tcW w:w="1080" w:type="dxa"/>
          </w:tcPr>
          <w:p w:rsidR="00D4299F" w:rsidRPr="00F145F7" w:rsidRDefault="00D4299F" w:rsidP="00F145F7">
            <w:pPr>
              <w:spacing w:line="360" w:lineRule="auto"/>
              <w:jc w:val="center"/>
              <w:rPr>
                <w:rFonts w:ascii="宋体" w:cs="宋体"/>
                <w:kern w:val="0"/>
                <w:szCs w:val="21"/>
              </w:rPr>
            </w:pPr>
            <w:r w:rsidRPr="00F145F7">
              <w:rPr>
                <w:rFonts w:ascii="宋体" w:hAnsi="宋体"/>
                <w:kern w:val="0"/>
                <w:szCs w:val="21"/>
              </w:rPr>
              <w:t>19.02%</w:t>
            </w:r>
          </w:p>
        </w:tc>
        <w:tc>
          <w:tcPr>
            <w:tcW w:w="1260" w:type="dxa"/>
          </w:tcPr>
          <w:p w:rsidR="00D4299F" w:rsidRPr="00F145F7" w:rsidRDefault="00D4299F" w:rsidP="00F145F7">
            <w:pPr>
              <w:spacing w:line="360" w:lineRule="auto"/>
              <w:jc w:val="center"/>
              <w:rPr>
                <w:rFonts w:ascii="宋体" w:cs="宋体"/>
                <w:kern w:val="0"/>
                <w:szCs w:val="21"/>
              </w:rPr>
            </w:pPr>
            <w:r w:rsidRPr="00F145F7">
              <w:rPr>
                <w:rFonts w:ascii="宋体" w:hAnsi="宋体"/>
                <w:kern w:val="0"/>
                <w:szCs w:val="21"/>
              </w:rPr>
              <w:t>76.22%</w:t>
            </w:r>
          </w:p>
        </w:tc>
        <w:tc>
          <w:tcPr>
            <w:tcW w:w="1260" w:type="dxa"/>
          </w:tcPr>
          <w:p w:rsidR="00D4299F" w:rsidRPr="00F145F7" w:rsidRDefault="00D4299F" w:rsidP="00F145F7">
            <w:pPr>
              <w:spacing w:line="360" w:lineRule="auto"/>
              <w:jc w:val="center"/>
              <w:rPr>
                <w:rFonts w:ascii="宋体" w:cs="宋体"/>
                <w:kern w:val="0"/>
                <w:szCs w:val="21"/>
              </w:rPr>
            </w:pPr>
            <w:r w:rsidRPr="00F145F7">
              <w:rPr>
                <w:rFonts w:ascii="宋体" w:hAnsi="宋体"/>
                <w:kern w:val="0"/>
                <w:szCs w:val="21"/>
              </w:rPr>
              <w:t>1.67%</w:t>
            </w:r>
          </w:p>
        </w:tc>
        <w:tc>
          <w:tcPr>
            <w:tcW w:w="1080" w:type="dxa"/>
            <w:vMerge/>
          </w:tcPr>
          <w:p w:rsidR="00D4299F" w:rsidRPr="00F145F7" w:rsidRDefault="00D4299F" w:rsidP="00771FBA">
            <w:pPr>
              <w:spacing w:line="360" w:lineRule="auto"/>
              <w:jc w:val="center"/>
              <w:rPr>
                <w:rFonts w:ascii="宋体" w:cs="宋体"/>
                <w:kern w:val="0"/>
                <w:szCs w:val="21"/>
              </w:rPr>
            </w:pPr>
          </w:p>
        </w:tc>
        <w:tc>
          <w:tcPr>
            <w:tcW w:w="1416" w:type="dxa"/>
            <w:vMerge/>
          </w:tcPr>
          <w:p w:rsidR="00D4299F" w:rsidRPr="00F145F7" w:rsidRDefault="00D4299F" w:rsidP="00F145F7">
            <w:pPr>
              <w:spacing w:line="360" w:lineRule="auto"/>
              <w:jc w:val="center"/>
              <w:rPr>
                <w:rFonts w:ascii="宋体" w:cs="宋体"/>
                <w:kern w:val="0"/>
                <w:szCs w:val="21"/>
              </w:rPr>
            </w:pPr>
          </w:p>
        </w:tc>
      </w:tr>
      <w:tr w:rsidR="00D4299F" w:rsidRPr="002259A4" w:rsidTr="00771FBA">
        <w:trPr>
          <w:trHeight w:val="415"/>
          <w:jc w:val="center"/>
        </w:trPr>
        <w:tc>
          <w:tcPr>
            <w:tcW w:w="1364" w:type="dxa"/>
          </w:tcPr>
          <w:p w:rsidR="00D4299F" w:rsidRPr="00F145F7" w:rsidRDefault="00D4299F" w:rsidP="00F145F7">
            <w:pPr>
              <w:spacing w:line="360" w:lineRule="auto"/>
              <w:jc w:val="center"/>
              <w:rPr>
                <w:rFonts w:ascii="宋体"/>
                <w:kern w:val="0"/>
                <w:szCs w:val="21"/>
              </w:rPr>
            </w:pPr>
            <w:r w:rsidRPr="00F145F7">
              <w:rPr>
                <w:rFonts w:ascii="宋体" w:hAnsi="宋体" w:hint="eastAsia"/>
                <w:kern w:val="0"/>
                <w:szCs w:val="21"/>
              </w:rPr>
              <w:t>食品学院</w:t>
            </w:r>
          </w:p>
        </w:tc>
        <w:tc>
          <w:tcPr>
            <w:tcW w:w="741" w:type="dxa"/>
          </w:tcPr>
          <w:p w:rsidR="00D4299F" w:rsidRPr="00F145F7" w:rsidRDefault="00D4299F" w:rsidP="00F145F7">
            <w:pPr>
              <w:spacing w:line="360" w:lineRule="auto"/>
              <w:jc w:val="center"/>
              <w:rPr>
                <w:rFonts w:ascii="宋体" w:hAnsi="宋体"/>
                <w:kern w:val="0"/>
                <w:szCs w:val="21"/>
              </w:rPr>
            </w:pPr>
            <w:r w:rsidRPr="00F145F7">
              <w:rPr>
                <w:rFonts w:ascii="宋体" w:hAnsi="宋体"/>
                <w:kern w:val="0"/>
                <w:szCs w:val="21"/>
              </w:rPr>
              <w:t>1681</w:t>
            </w:r>
          </w:p>
        </w:tc>
        <w:tc>
          <w:tcPr>
            <w:tcW w:w="741" w:type="dxa"/>
          </w:tcPr>
          <w:p w:rsidR="00D4299F" w:rsidRPr="00F145F7" w:rsidRDefault="00D4299F" w:rsidP="00F145F7">
            <w:pPr>
              <w:spacing w:line="360" w:lineRule="auto"/>
              <w:jc w:val="center"/>
              <w:rPr>
                <w:rFonts w:ascii="宋体" w:hAnsi="宋体"/>
                <w:kern w:val="0"/>
                <w:szCs w:val="21"/>
              </w:rPr>
            </w:pPr>
            <w:r w:rsidRPr="00F145F7">
              <w:rPr>
                <w:rFonts w:ascii="宋体" w:hAnsi="宋体"/>
                <w:kern w:val="0"/>
                <w:szCs w:val="21"/>
              </w:rPr>
              <w:t>1656</w:t>
            </w:r>
          </w:p>
        </w:tc>
        <w:tc>
          <w:tcPr>
            <w:tcW w:w="704" w:type="dxa"/>
            <w:vMerge/>
          </w:tcPr>
          <w:p w:rsidR="00D4299F" w:rsidRPr="00F145F7" w:rsidRDefault="00D4299F" w:rsidP="00771FBA">
            <w:pPr>
              <w:spacing w:line="360" w:lineRule="auto"/>
              <w:jc w:val="center"/>
              <w:rPr>
                <w:rFonts w:ascii="宋体" w:cs="宋体"/>
                <w:kern w:val="0"/>
                <w:szCs w:val="21"/>
              </w:rPr>
            </w:pPr>
          </w:p>
        </w:tc>
        <w:tc>
          <w:tcPr>
            <w:tcW w:w="1080" w:type="dxa"/>
          </w:tcPr>
          <w:p w:rsidR="00D4299F" w:rsidRPr="00F145F7" w:rsidRDefault="00D4299F" w:rsidP="00F145F7">
            <w:pPr>
              <w:spacing w:line="360" w:lineRule="auto"/>
              <w:jc w:val="center"/>
              <w:rPr>
                <w:rFonts w:ascii="宋体" w:cs="宋体"/>
                <w:kern w:val="0"/>
                <w:szCs w:val="21"/>
              </w:rPr>
            </w:pPr>
            <w:r w:rsidRPr="00F145F7">
              <w:rPr>
                <w:rFonts w:ascii="宋体" w:hAnsi="宋体"/>
                <w:kern w:val="0"/>
                <w:szCs w:val="21"/>
              </w:rPr>
              <w:t>4.40%</w:t>
            </w:r>
          </w:p>
        </w:tc>
        <w:tc>
          <w:tcPr>
            <w:tcW w:w="1080" w:type="dxa"/>
          </w:tcPr>
          <w:p w:rsidR="00D4299F" w:rsidRPr="00F145F7" w:rsidRDefault="00D4299F" w:rsidP="00F145F7">
            <w:pPr>
              <w:spacing w:line="360" w:lineRule="auto"/>
              <w:jc w:val="center"/>
              <w:rPr>
                <w:rFonts w:ascii="宋体" w:cs="宋体"/>
                <w:kern w:val="0"/>
                <w:szCs w:val="21"/>
              </w:rPr>
            </w:pPr>
            <w:r w:rsidRPr="00F145F7">
              <w:rPr>
                <w:rFonts w:ascii="宋体" w:hAnsi="宋体"/>
                <w:kern w:val="0"/>
                <w:szCs w:val="21"/>
              </w:rPr>
              <w:t>34.62%</w:t>
            </w:r>
          </w:p>
        </w:tc>
        <w:tc>
          <w:tcPr>
            <w:tcW w:w="1260" w:type="dxa"/>
          </w:tcPr>
          <w:p w:rsidR="00D4299F" w:rsidRPr="00F145F7" w:rsidRDefault="00D4299F" w:rsidP="00F145F7">
            <w:pPr>
              <w:spacing w:line="360" w:lineRule="auto"/>
              <w:jc w:val="center"/>
              <w:rPr>
                <w:rFonts w:ascii="宋体" w:cs="宋体"/>
                <w:kern w:val="0"/>
                <w:szCs w:val="21"/>
              </w:rPr>
            </w:pPr>
            <w:r w:rsidRPr="00F145F7">
              <w:rPr>
                <w:rFonts w:ascii="宋体" w:hAnsi="宋体"/>
                <w:kern w:val="0"/>
                <w:szCs w:val="21"/>
              </w:rPr>
              <w:t>57.17%</w:t>
            </w:r>
          </w:p>
        </w:tc>
        <w:tc>
          <w:tcPr>
            <w:tcW w:w="1260" w:type="dxa"/>
          </w:tcPr>
          <w:p w:rsidR="00D4299F" w:rsidRPr="00F145F7" w:rsidRDefault="00D4299F" w:rsidP="00F145F7">
            <w:pPr>
              <w:spacing w:line="360" w:lineRule="auto"/>
              <w:jc w:val="center"/>
              <w:rPr>
                <w:rFonts w:ascii="宋体" w:cs="宋体"/>
                <w:kern w:val="0"/>
                <w:szCs w:val="21"/>
              </w:rPr>
            </w:pPr>
            <w:r w:rsidRPr="00F145F7">
              <w:rPr>
                <w:rFonts w:ascii="宋体" w:hAnsi="宋体"/>
                <w:kern w:val="0"/>
                <w:szCs w:val="21"/>
              </w:rPr>
              <w:t>1.49%</w:t>
            </w:r>
          </w:p>
        </w:tc>
        <w:tc>
          <w:tcPr>
            <w:tcW w:w="1080" w:type="dxa"/>
            <w:vMerge/>
          </w:tcPr>
          <w:p w:rsidR="00D4299F" w:rsidRPr="00F145F7" w:rsidRDefault="00D4299F" w:rsidP="00771FBA">
            <w:pPr>
              <w:spacing w:line="360" w:lineRule="auto"/>
              <w:jc w:val="center"/>
              <w:rPr>
                <w:rFonts w:ascii="宋体" w:cs="宋体"/>
                <w:kern w:val="0"/>
                <w:szCs w:val="21"/>
              </w:rPr>
            </w:pPr>
          </w:p>
        </w:tc>
        <w:tc>
          <w:tcPr>
            <w:tcW w:w="1416" w:type="dxa"/>
            <w:vMerge/>
          </w:tcPr>
          <w:p w:rsidR="00D4299F" w:rsidRPr="00F145F7" w:rsidRDefault="00D4299F" w:rsidP="00F145F7">
            <w:pPr>
              <w:spacing w:line="360" w:lineRule="auto"/>
              <w:jc w:val="center"/>
              <w:rPr>
                <w:rFonts w:ascii="宋体" w:cs="宋体"/>
                <w:kern w:val="0"/>
                <w:szCs w:val="21"/>
              </w:rPr>
            </w:pPr>
          </w:p>
        </w:tc>
      </w:tr>
      <w:tr w:rsidR="00D4299F" w:rsidRPr="002259A4" w:rsidTr="00771FBA">
        <w:trPr>
          <w:trHeight w:val="416"/>
          <w:jc w:val="center"/>
        </w:trPr>
        <w:tc>
          <w:tcPr>
            <w:tcW w:w="1364" w:type="dxa"/>
          </w:tcPr>
          <w:p w:rsidR="00D4299F" w:rsidRPr="00F145F7" w:rsidRDefault="00D4299F" w:rsidP="00F145F7">
            <w:pPr>
              <w:spacing w:line="360" w:lineRule="auto"/>
              <w:jc w:val="center"/>
              <w:rPr>
                <w:rFonts w:ascii="宋体"/>
                <w:kern w:val="0"/>
                <w:szCs w:val="21"/>
              </w:rPr>
            </w:pPr>
            <w:r w:rsidRPr="00F145F7">
              <w:rPr>
                <w:rFonts w:ascii="宋体" w:hAnsi="宋体" w:hint="eastAsia"/>
                <w:kern w:val="0"/>
                <w:szCs w:val="21"/>
              </w:rPr>
              <w:t>海洋学院</w:t>
            </w:r>
          </w:p>
        </w:tc>
        <w:tc>
          <w:tcPr>
            <w:tcW w:w="741" w:type="dxa"/>
          </w:tcPr>
          <w:p w:rsidR="00D4299F" w:rsidRPr="00F145F7" w:rsidRDefault="00D4299F" w:rsidP="00F145F7">
            <w:pPr>
              <w:spacing w:line="360" w:lineRule="auto"/>
              <w:jc w:val="center"/>
              <w:rPr>
                <w:rFonts w:ascii="宋体" w:hAnsi="宋体"/>
                <w:kern w:val="0"/>
                <w:szCs w:val="21"/>
              </w:rPr>
            </w:pPr>
            <w:r w:rsidRPr="00F145F7">
              <w:rPr>
                <w:rFonts w:ascii="宋体" w:hAnsi="宋体"/>
                <w:kern w:val="0"/>
                <w:szCs w:val="21"/>
              </w:rPr>
              <w:t>993</w:t>
            </w:r>
          </w:p>
        </w:tc>
        <w:tc>
          <w:tcPr>
            <w:tcW w:w="741" w:type="dxa"/>
          </w:tcPr>
          <w:p w:rsidR="00D4299F" w:rsidRPr="00F145F7" w:rsidRDefault="00D4299F" w:rsidP="00F145F7">
            <w:pPr>
              <w:spacing w:line="360" w:lineRule="auto"/>
              <w:jc w:val="center"/>
              <w:rPr>
                <w:rFonts w:ascii="宋体" w:hAnsi="宋体"/>
                <w:kern w:val="0"/>
                <w:szCs w:val="21"/>
              </w:rPr>
            </w:pPr>
            <w:r w:rsidRPr="00F145F7">
              <w:rPr>
                <w:rFonts w:ascii="宋体" w:hAnsi="宋体"/>
                <w:kern w:val="0"/>
                <w:szCs w:val="21"/>
              </w:rPr>
              <w:t>962</w:t>
            </w:r>
          </w:p>
        </w:tc>
        <w:tc>
          <w:tcPr>
            <w:tcW w:w="704" w:type="dxa"/>
            <w:vMerge/>
          </w:tcPr>
          <w:p w:rsidR="00D4299F" w:rsidRPr="00F145F7" w:rsidRDefault="00D4299F" w:rsidP="00771FBA">
            <w:pPr>
              <w:spacing w:line="360" w:lineRule="auto"/>
              <w:jc w:val="center"/>
              <w:rPr>
                <w:rFonts w:ascii="宋体" w:cs="宋体"/>
                <w:kern w:val="0"/>
                <w:szCs w:val="21"/>
              </w:rPr>
            </w:pPr>
          </w:p>
        </w:tc>
        <w:tc>
          <w:tcPr>
            <w:tcW w:w="1080" w:type="dxa"/>
          </w:tcPr>
          <w:p w:rsidR="00D4299F" w:rsidRPr="00F145F7" w:rsidRDefault="00D4299F" w:rsidP="00F145F7">
            <w:pPr>
              <w:spacing w:line="360" w:lineRule="auto"/>
              <w:jc w:val="center"/>
              <w:rPr>
                <w:rFonts w:ascii="宋体" w:cs="宋体"/>
                <w:kern w:val="0"/>
                <w:szCs w:val="21"/>
              </w:rPr>
            </w:pPr>
            <w:r w:rsidRPr="00F145F7">
              <w:rPr>
                <w:rFonts w:ascii="宋体" w:hAnsi="宋体"/>
                <w:kern w:val="0"/>
                <w:szCs w:val="21"/>
              </w:rPr>
              <w:t>6.14%</w:t>
            </w:r>
          </w:p>
        </w:tc>
        <w:tc>
          <w:tcPr>
            <w:tcW w:w="1080" w:type="dxa"/>
          </w:tcPr>
          <w:p w:rsidR="00D4299F" w:rsidRPr="00F145F7" w:rsidRDefault="00D4299F" w:rsidP="00F145F7">
            <w:pPr>
              <w:spacing w:line="360" w:lineRule="auto"/>
              <w:jc w:val="center"/>
              <w:rPr>
                <w:rFonts w:ascii="宋体" w:cs="宋体"/>
                <w:kern w:val="0"/>
                <w:szCs w:val="21"/>
              </w:rPr>
            </w:pPr>
            <w:r w:rsidRPr="00F145F7">
              <w:rPr>
                <w:rFonts w:ascii="宋体" w:hAnsi="宋体"/>
                <w:kern w:val="0"/>
                <w:szCs w:val="21"/>
              </w:rPr>
              <w:t>37.76%</w:t>
            </w:r>
          </w:p>
        </w:tc>
        <w:tc>
          <w:tcPr>
            <w:tcW w:w="1260" w:type="dxa"/>
          </w:tcPr>
          <w:p w:rsidR="00D4299F" w:rsidRPr="00F145F7" w:rsidRDefault="00D4299F" w:rsidP="00F145F7">
            <w:pPr>
              <w:spacing w:line="360" w:lineRule="auto"/>
              <w:jc w:val="center"/>
              <w:rPr>
                <w:rFonts w:ascii="宋体" w:cs="宋体"/>
                <w:kern w:val="0"/>
                <w:szCs w:val="21"/>
              </w:rPr>
            </w:pPr>
            <w:r w:rsidRPr="00F145F7">
              <w:rPr>
                <w:rFonts w:ascii="宋体" w:hAnsi="宋体"/>
                <w:kern w:val="0"/>
                <w:szCs w:val="21"/>
              </w:rPr>
              <w:t>50.25%</w:t>
            </w:r>
          </w:p>
        </w:tc>
        <w:tc>
          <w:tcPr>
            <w:tcW w:w="1260" w:type="dxa"/>
          </w:tcPr>
          <w:p w:rsidR="00D4299F" w:rsidRPr="00F145F7" w:rsidRDefault="00D4299F" w:rsidP="00F145F7">
            <w:pPr>
              <w:spacing w:line="360" w:lineRule="auto"/>
              <w:jc w:val="center"/>
              <w:rPr>
                <w:rFonts w:ascii="宋体" w:cs="宋体"/>
                <w:kern w:val="0"/>
                <w:szCs w:val="21"/>
              </w:rPr>
            </w:pPr>
            <w:r w:rsidRPr="00F145F7">
              <w:rPr>
                <w:rFonts w:ascii="宋体" w:hAnsi="宋体"/>
                <w:kern w:val="0"/>
                <w:szCs w:val="21"/>
              </w:rPr>
              <w:t>2.42%</w:t>
            </w:r>
          </w:p>
        </w:tc>
        <w:tc>
          <w:tcPr>
            <w:tcW w:w="1080" w:type="dxa"/>
            <w:vMerge/>
          </w:tcPr>
          <w:p w:rsidR="00D4299F" w:rsidRPr="00F145F7" w:rsidRDefault="00D4299F" w:rsidP="00771FBA">
            <w:pPr>
              <w:spacing w:line="360" w:lineRule="auto"/>
              <w:jc w:val="center"/>
              <w:rPr>
                <w:rFonts w:ascii="宋体" w:cs="宋体"/>
                <w:kern w:val="0"/>
                <w:szCs w:val="21"/>
              </w:rPr>
            </w:pPr>
          </w:p>
        </w:tc>
        <w:tc>
          <w:tcPr>
            <w:tcW w:w="1416" w:type="dxa"/>
            <w:vMerge/>
          </w:tcPr>
          <w:p w:rsidR="00D4299F" w:rsidRPr="00F145F7" w:rsidRDefault="00D4299F" w:rsidP="00F145F7">
            <w:pPr>
              <w:spacing w:line="360" w:lineRule="auto"/>
              <w:jc w:val="center"/>
              <w:rPr>
                <w:rFonts w:ascii="宋体" w:cs="宋体"/>
                <w:kern w:val="0"/>
                <w:szCs w:val="21"/>
              </w:rPr>
            </w:pPr>
          </w:p>
        </w:tc>
      </w:tr>
      <w:tr w:rsidR="00D4299F" w:rsidRPr="002259A4" w:rsidTr="00771FBA">
        <w:trPr>
          <w:trHeight w:val="411"/>
          <w:jc w:val="center"/>
        </w:trPr>
        <w:tc>
          <w:tcPr>
            <w:tcW w:w="1364" w:type="dxa"/>
          </w:tcPr>
          <w:p w:rsidR="00D4299F" w:rsidRPr="00F145F7" w:rsidRDefault="00D4299F" w:rsidP="00F145F7">
            <w:pPr>
              <w:spacing w:line="360" w:lineRule="auto"/>
              <w:jc w:val="center"/>
              <w:rPr>
                <w:rFonts w:ascii="宋体"/>
                <w:kern w:val="0"/>
                <w:szCs w:val="21"/>
              </w:rPr>
            </w:pPr>
            <w:r w:rsidRPr="00F145F7">
              <w:rPr>
                <w:rFonts w:ascii="宋体" w:hAnsi="宋体" w:hint="eastAsia"/>
                <w:kern w:val="0"/>
                <w:szCs w:val="21"/>
              </w:rPr>
              <w:t>生命学院</w:t>
            </w:r>
          </w:p>
        </w:tc>
        <w:tc>
          <w:tcPr>
            <w:tcW w:w="741" w:type="dxa"/>
          </w:tcPr>
          <w:p w:rsidR="00D4299F" w:rsidRPr="00F145F7" w:rsidRDefault="00D4299F" w:rsidP="00F145F7">
            <w:pPr>
              <w:spacing w:line="360" w:lineRule="auto"/>
              <w:jc w:val="center"/>
              <w:rPr>
                <w:rFonts w:ascii="宋体" w:hAnsi="宋体"/>
                <w:kern w:val="0"/>
                <w:szCs w:val="21"/>
              </w:rPr>
            </w:pPr>
            <w:r w:rsidRPr="00F145F7">
              <w:rPr>
                <w:rFonts w:ascii="宋体" w:hAnsi="宋体"/>
                <w:kern w:val="0"/>
                <w:szCs w:val="21"/>
              </w:rPr>
              <w:t>1149</w:t>
            </w:r>
          </w:p>
        </w:tc>
        <w:tc>
          <w:tcPr>
            <w:tcW w:w="741" w:type="dxa"/>
          </w:tcPr>
          <w:p w:rsidR="00D4299F" w:rsidRPr="00F145F7" w:rsidRDefault="00D4299F" w:rsidP="00F145F7">
            <w:pPr>
              <w:spacing w:line="360" w:lineRule="auto"/>
              <w:jc w:val="center"/>
              <w:rPr>
                <w:rFonts w:ascii="宋体" w:hAnsi="宋体"/>
                <w:kern w:val="0"/>
                <w:szCs w:val="21"/>
              </w:rPr>
            </w:pPr>
            <w:r w:rsidRPr="00F145F7">
              <w:rPr>
                <w:rFonts w:ascii="宋体" w:hAnsi="宋体"/>
                <w:kern w:val="0"/>
                <w:szCs w:val="21"/>
              </w:rPr>
              <w:t>1104</w:t>
            </w:r>
          </w:p>
        </w:tc>
        <w:tc>
          <w:tcPr>
            <w:tcW w:w="704" w:type="dxa"/>
            <w:vMerge/>
          </w:tcPr>
          <w:p w:rsidR="00D4299F" w:rsidRPr="00F145F7" w:rsidRDefault="00D4299F" w:rsidP="00771FBA">
            <w:pPr>
              <w:spacing w:line="360" w:lineRule="auto"/>
              <w:jc w:val="center"/>
              <w:rPr>
                <w:rFonts w:ascii="宋体" w:cs="宋体"/>
                <w:kern w:val="0"/>
                <w:szCs w:val="21"/>
              </w:rPr>
            </w:pPr>
          </w:p>
        </w:tc>
        <w:tc>
          <w:tcPr>
            <w:tcW w:w="1080" w:type="dxa"/>
          </w:tcPr>
          <w:p w:rsidR="00D4299F" w:rsidRPr="00F145F7" w:rsidRDefault="00D4299F" w:rsidP="00F145F7">
            <w:pPr>
              <w:spacing w:line="360" w:lineRule="auto"/>
              <w:jc w:val="center"/>
              <w:rPr>
                <w:rFonts w:ascii="宋体" w:cs="宋体"/>
                <w:kern w:val="0"/>
                <w:szCs w:val="21"/>
              </w:rPr>
            </w:pPr>
            <w:r w:rsidRPr="00F145F7">
              <w:rPr>
                <w:rFonts w:ascii="宋体" w:hAnsi="宋体"/>
                <w:kern w:val="0"/>
                <w:szCs w:val="21"/>
              </w:rPr>
              <w:t>4.61%</w:t>
            </w:r>
          </w:p>
        </w:tc>
        <w:tc>
          <w:tcPr>
            <w:tcW w:w="1080" w:type="dxa"/>
          </w:tcPr>
          <w:p w:rsidR="00D4299F" w:rsidRPr="00F145F7" w:rsidRDefault="00D4299F" w:rsidP="00F145F7">
            <w:pPr>
              <w:spacing w:line="360" w:lineRule="auto"/>
              <w:jc w:val="center"/>
              <w:rPr>
                <w:rFonts w:ascii="宋体" w:cs="宋体"/>
                <w:kern w:val="0"/>
                <w:szCs w:val="21"/>
              </w:rPr>
            </w:pPr>
            <w:r w:rsidRPr="00F145F7">
              <w:rPr>
                <w:rFonts w:ascii="宋体" w:hAnsi="宋体"/>
                <w:kern w:val="0"/>
                <w:szCs w:val="21"/>
              </w:rPr>
              <w:t>29.42%</w:t>
            </w:r>
          </w:p>
        </w:tc>
        <w:tc>
          <w:tcPr>
            <w:tcW w:w="1260" w:type="dxa"/>
          </w:tcPr>
          <w:p w:rsidR="00D4299F" w:rsidRPr="00F145F7" w:rsidRDefault="00D4299F" w:rsidP="00F145F7">
            <w:pPr>
              <w:spacing w:line="360" w:lineRule="auto"/>
              <w:jc w:val="center"/>
              <w:rPr>
                <w:rFonts w:ascii="宋体" w:cs="宋体"/>
                <w:kern w:val="0"/>
                <w:szCs w:val="21"/>
              </w:rPr>
            </w:pPr>
            <w:r w:rsidRPr="00F145F7">
              <w:rPr>
                <w:rFonts w:ascii="宋体" w:hAnsi="宋体"/>
                <w:kern w:val="0"/>
                <w:szCs w:val="21"/>
              </w:rPr>
              <w:t>57.27%</w:t>
            </w:r>
          </w:p>
        </w:tc>
        <w:tc>
          <w:tcPr>
            <w:tcW w:w="1260" w:type="dxa"/>
          </w:tcPr>
          <w:p w:rsidR="00D4299F" w:rsidRPr="00F145F7" w:rsidRDefault="00D4299F" w:rsidP="00F145F7">
            <w:pPr>
              <w:spacing w:line="360" w:lineRule="auto"/>
              <w:jc w:val="center"/>
              <w:rPr>
                <w:rFonts w:ascii="宋体" w:cs="宋体"/>
                <w:kern w:val="0"/>
                <w:szCs w:val="21"/>
              </w:rPr>
            </w:pPr>
            <w:r w:rsidRPr="00F145F7">
              <w:rPr>
                <w:rFonts w:ascii="宋体" w:hAnsi="宋体"/>
                <w:kern w:val="0"/>
                <w:szCs w:val="21"/>
              </w:rPr>
              <w:t>4.61%</w:t>
            </w:r>
          </w:p>
        </w:tc>
        <w:tc>
          <w:tcPr>
            <w:tcW w:w="1080" w:type="dxa"/>
            <w:vMerge/>
          </w:tcPr>
          <w:p w:rsidR="00D4299F" w:rsidRPr="00F145F7" w:rsidRDefault="00D4299F" w:rsidP="00771FBA">
            <w:pPr>
              <w:spacing w:line="360" w:lineRule="auto"/>
              <w:jc w:val="center"/>
              <w:rPr>
                <w:rFonts w:ascii="宋体" w:cs="宋体"/>
                <w:kern w:val="0"/>
                <w:szCs w:val="21"/>
              </w:rPr>
            </w:pPr>
          </w:p>
        </w:tc>
        <w:tc>
          <w:tcPr>
            <w:tcW w:w="1416" w:type="dxa"/>
            <w:vMerge/>
          </w:tcPr>
          <w:p w:rsidR="00D4299F" w:rsidRPr="00F145F7" w:rsidRDefault="00D4299F" w:rsidP="00F145F7">
            <w:pPr>
              <w:spacing w:line="360" w:lineRule="auto"/>
              <w:jc w:val="center"/>
              <w:rPr>
                <w:rFonts w:ascii="宋体" w:cs="宋体"/>
                <w:kern w:val="0"/>
                <w:szCs w:val="21"/>
              </w:rPr>
            </w:pPr>
          </w:p>
        </w:tc>
      </w:tr>
      <w:tr w:rsidR="00D4299F" w:rsidRPr="002259A4" w:rsidTr="00771FBA">
        <w:trPr>
          <w:trHeight w:val="419"/>
          <w:jc w:val="center"/>
        </w:trPr>
        <w:tc>
          <w:tcPr>
            <w:tcW w:w="1364" w:type="dxa"/>
          </w:tcPr>
          <w:p w:rsidR="00D4299F" w:rsidRPr="00F145F7" w:rsidRDefault="00D4299F" w:rsidP="00F145F7">
            <w:pPr>
              <w:spacing w:line="360" w:lineRule="auto"/>
              <w:jc w:val="center"/>
              <w:rPr>
                <w:rFonts w:ascii="宋体"/>
                <w:kern w:val="0"/>
                <w:szCs w:val="21"/>
              </w:rPr>
            </w:pPr>
            <w:r w:rsidRPr="00F145F7">
              <w:rPr>
                <w:rFonts w:ascii="宋体" w:hAnsi="宋体" w:hint="eastAsia"/>
                <w:kern w:val="0"/>
                <w:szCs w:val="21"/>
              </w:rPr>
              <w:t>经管学院</w:t>
            </w:r>
          </w:p>
        </w:tc>
        <w:tc>
          <w:tcPr>
            <w:tcW w:w="741" w:type="dxa"/>
          </w:tcPr>
          <w:p w:rsidR="00D4299F" w:rsidRPr="00F145F7" w:rsidRDefault="00D4299F" w:rsidP="00F145F7">
            <w:pPr>
              <w:spacing w:line="360" w:lineRule="auto"/>
              <w:jc w:val="center"/>
              <w:rPr>
                <w:rFonts w:ascii="宋体" w:hAnsi="宋体"/>
                <w:kern w:val="0"/>
                <w:szCs w:val="21"/>
              </w:rPr>
            </w:pPr>
            <w:r w:rsidRPr="00F145F7">
              <w:rPr>
                <w:rFonts w:ascii="宋体" w:hAnsi="宋体"/>
                <w:kern w:val="0"/>
                <w:szCs w:val="21"/>
              </w:rPr>
              <w:t>2446</w:t>
            </w:r>
          </w:p>
        </w:tc>
        <w:tc>
          <w:tcPr>
            <w:tcW w:w="741" w:type="dxa"/>
          </w:tcPr>
          <w:p w:rsidR="00D4299F" w:rsidRPr="00F145F7" w:rsidRDefault="00D4299F" w:rsidP="00F145F7">
            <w:pPr>
              <w:spacing w:line="360" w:lineRule="auto"/>
              <w:jc w:val="center"/>
              <w:rPr>
                <w:rFonts w:ascii="宋体" w:hAnsi="宋体"/>
                <w:kern w:val="0"/>
                <w:szCs w:val="21"/>
              </w:rPr>
            </w:pPr>
            <w:r w:rsidRPr="00F145F7">
              <w:rPr>
                <w:rFonts w:ascii="宋体" w:hAnsi="宋体"/>
                <w:kern w:val="0"/>
                <w:szCs w:val="21"/>
              </w:rPr>
              <w:t>2389</w:t>
            </w:r>
          </w:p>
        </w:tc>
        <w:tc>
          <w:tcPr>
            <w:tcW w:w="704" w:type="dxa"/>
            <w:vMerge/>
          </w:tcPr>
          <w:p w:rsidR="00D4299F" w:rsidRPr="00F145F7" w:rsidRDefault="00D4299F" w:rsidP="00771FBA">
            <w:pPr>
              <w:spacing w:line="360" w:lineRule="auto"/>
              <w:jc w:val="center"/>
              <w:rPr>
                <w:rFonts w:ascii="宋体"/>
                <w:kern w:val="0"/>
                <w:szCs w:val="21"/>
              </w:rPr>
            </w:pPr>
          </w:p>
        </w:tc>
        <w:tc>
          <w:tcPr>
            <w:tcW w:w="1080" w:type="dxa"/>
          </w:tcPr>
          <w:p w:rsidR="00D4299F" w:rsidRPr="00F145F7" w:rsidRDefault="00D4299F" w:rsidP="00F145F7">
            <w:pPr>
              <w:spacing w:line="360" w:lineRule="auto"/>
              <w:jc w:val="center"/>
              <w:rPr>
                <w:rFonts w:ascii="宋体" w:hAnsi="宋体"/>
                <w:kern w:val="0"/>
                <w:szCs w:val="21"/>
              </w:rPr>
            </w:pPr>
            <w:r w:rsidRPr="00F145F7">
              <w:rPr>
                <w:rFonts w:ascii="宋体" w:hAnsi="宋体"/>
                <w:kern w:val="0"/>
                <w:szCs w:val="21"/>
              </w:rPr>
              <w:t>5.11%</w:t>
            </w:r>
          </w:p>
        </w:tc>
        <w:tc>
          <w:tcPr>
            <w:tcW w:w="1080" w:type="dxa"/>
          </w:tcPr>
          <w:p w:rsidR="00D4299F" w:rsidRPr="00F145F7" w:rsidRDefault="00D4299F" w:rsidP="00F145F7">
            <w:pPr>
              <w:spacing w:line="360" w:lineRule="auto"/>
              <w:jc w:val="center"/>
              <w:rPr>
                <w:rFonts w:ascii="宋体" w:cs="宋体"/>
                <w:kern w:val="0"/>
                <w:szCs w:val="21"/>
              </w:rPr>
            </w:pPr>
            <w:r w:rsidRPr="00F145F7">
              <w:rPr>
                <w:rFonts w:ascii="宋体" w:hAnsi="宋体"/>
                <w:kern w:val="0"/>
                <w:szCs w:val="21"/>
              </w:rPr>
              <w:t>31.52%</w:t>
            </w:r>
          </w:p>
        </w:tc>
        <w:tc>
          <w:tcPr>
            <w:tcW w:w="1260" w:type="dxa"/>
          </w:tcPr>
          <w:p w:rsidR="00D4299F" w:rsidRPr="00F145F7" w:rsidRDefault="00D4299F" w:rsidP="00F145F7">
            <w:pPr>
              <w:spacing w:line="360" w:lineRule="auto"/>
              <w:jc w:val="center"/>
              <w:rPr>
                <w:rFonts w:ascii="宋体" w:cs="宋体"/>
                <w:kern w:val="0"/>
                <w:szCs w:val="21"/>
              </w:rPr>
            </w:pPr>
            <w:r w:rsidRPr="00F145F7">
              <w:rPr>
                <w:rFonts w:ascii="宋体" w:hAnsi="宋体"/>
                <w:kern w:val="0"/>
                <w:szCs w:val="21"/>
              </w:rPr>
              <w:t>59.61%</w:t>
            </w:r>
          </w:p>
        </w:tc>
        <w:tc>
          <w:tcPr>
            <w:tcW w:w="1260" w:type="dxa"/>
          </w:tcPr>
          <w:p w:rsidR="00D4299F" w:rsidRPr="00F145F7" w:rsidRDefault="00D4299F" w:rsidP="00F145F7">
            <w:pPr>
              <w:spacing w:line="360" w:lineRule="auto"/>
              <w:jc w:val="center"/>
              <w:rPr>
                <w:rFonts w:ascii="宋体" w:cs="宋体"/>
                <w:kern w:val="0"/>
                <w:szCs w:val="21"/>
              </w:rPr>
            </w:pPr>
            <w:r w:rsidRPr="00F145F7">
              <w:rPr>
                <w:rFonts w:ascii="宋体" w:hAnsi="宋体"/>
                <w:kern w:val="0"/>
                <w:szCs w:val="21"/>
              </w:rPr>
              <w:t>2.25%</w:t>
            </w:r>
          </w:p>
        </w:tc>
        <w:tc>
          <w:tcPr>
            <w:tcW w:w="1080" w:type="dxa"/>
            <w:vMerge/>
          </w:tcPr>
          <w:p w:rsidR="00D4299F" w:rsidRPr="00F145F7" w:rsidRDefault="00D4299F" w:rsidP="00771FBA">
            <w:pPr>
              <w:spacing w:line="360" w:lineRule="auto"/>
              <w:jc w:val="center"/>
              <w:rPr>
                <w:rFonts w:ascii="宋体" w:cs="宋体"/>
                <w:kern w:val="0"/>
                <w:szCs w:val="21"/>
              </w:rPr>
            </w:pPr>
          </w:p>
        </w:tc>
        <w:tc>
          <w:tcPr>
            <w:tcW w:w="1416" w:type="dxa"/>
            <w:vMerge/>
          </w:tcPr>
          <w:p w:rsidR="00D4299F" w:rsidRPr="00F145F7" w:rsidRDefault="00D4299F" w:rsidP="00F145F7">
            <w:pPr>
              <w:spacing w:line="360" w:lineRule="auto"/>
              <w:jc w:val="center"/>
              <w:rPr>
                <w:rFonts w:ascii="宋体" w:cs="宋体"/>
                <w:kern w:val="0"/>
                <w:szCs w:val="21"/>
              </w:rPr>
            </w:pPr>
          </w:p>
        </w:tc>
      </w:tr>
      <w:tr w:rsidR="00D4299F" w:rsidRPr="002259A4" w:rsidTr="00771FBA">
        <w:trPr>
          <w:trHeight w:val="409"/>
          <w:jc w:val="center"/>
        </w:trPr>
        <w:tc>
          <w:tcPr>
            <w:tcW w:w="1364" w:type="dxa"/>
          </w:tcPr>
          <w:p w:rsidR="00D4299F" w:rsidRPr="00F145F7" w:rsidRDefault="00D4299F" w:rsidP="00F145F7">
            <w:pPr>
              <w:spacing w:line="360" w:lineRule="auto"/>
              <w:jc w:val="center"/>
              <w:rPr>
                <w:rFonts w:ascii="宋体"/>
                <w:kern w:val="0"/>
                <w:szCs w:val="21"/>
              </w:rPr>
            </w:pPr>
            <w:r w:rsidRPr="00F145F7">
              <w:rPr>
                <w:rFonts w:ascii="宋体" w:hAnsi="宋体" w:hint="eastAsia"/>
                <w:kern w:val="0"/>
                <w:szCs w:val="21"/>
              </w:rPr>
              <w:t>工程学院</w:t>
            </w:r>
          </w:p>
        </w:tc>
        <w:tc>
          <w:tcPr>
            <w:tcW w:w="741" w:type="dxa"/>
          </w:tcPr>
          <w:p w:rsidR="00D4299F" w:rsidRPr="00F145F7" w:rsidRDefault="00D4299F" w:rsidP="00F145F7">
            <w:pPr>
              <w:spacing w:line="360" w:lineRule="auto"/>
              <w:jc w:val="center"/>
              <w:rPr>
                <w:rFonts w:ascii="宋体" w:hAnsi="宋体"/>
                <w:kern w:val="0"/>
                <w:szCs w:val="21"/>
              </w:rPr>
            </w:pPr>
            <w:r w:rsidRPr="00F145F7">
              <w:rPr>
                <w:rFonts w:ascii="宋体" w:hAnsi="宋体"/>
                <w:kern w:val="0"/>
                <w:szCs w:val="21"/>
              </w:rPr>
              <w:t>1276</w:t>
            </w:r>
          </w:p>
        </w:tc>
        <w:tc>
          <w:tcPr>
            <w:tcW w:w="741" w:type="dxa"/>
          </w:tcPr>
          <w:p w:rsidR="00D4299F" w:rsidRPr="00F145F7" w:rsidRDefault="00D4299F" w:rsidP="00F145F7">
            <w:pPr>
              <w:spacing w:line="360" w:lineRule="auto"/>
              <w:jc w:val="center"/>
              <w:rPr>
                <w:rFonts w:ascii="宋体" w:hAnsi="宋体"/>
                <w:kern w:val="0"/>
                <w:szCs w:val="21"/>
              </w:rPr>
            </w:pPr>
            <w:r w:rsidRPr="00F145F7">
              <w:rPr>
                <w:rFonts w:ascii="宋体" w:hAnsi="宋体"/>
                <w:kern w:val="0"/>
                <w:szCs w:val="21"/>
              </w:rPr>
              <w:t>1260</w:t>
            </w:r>
          </w:p>
        </w:tc>
        <w:tc>
          <w:tcPr>
            <w:tcW w:w="704" w:type="dxa"/>
            <w:vMerge/>
          </w:tcPr>
          <w:p w:rsidR="00D4299F" w:rsidRPr="00F145F7" w:rsidRDefault="00D4299F" w:rsidP="00771FBA">
            <w:pPr>
              <w:spacing w:line="360" w:lineRule="auto"/>
              <w:jc w:val="center"/>
              <w:rPr>
                <w:rFonts w:ascii="宋体" w:cs="宋体"/>
                <w:kern w:val="0"/>
                <w:szCs w:val="21"/>
              </w:rPr>
            </w:pPr>
          </w:p>
        </w:tc>
        <w:tc>
          <w:tcPr>
            <w:tcW w:w="1080" w:type="dxa"/>
          </w:tcPr>
          <w:p w:rsidR="00D4299F" w:rsidRPr="00F145F7" w:rsidRDefault="00D4299F" w:rsidP="00F145F7">
            <w:pPr>
              <w:spacing w:line="360" w:lineRule="auto"/>
              <w:jc w:val="center"/>
              <w:rPr>
                <w:rFonts w:ascii="宋体" w:cs="宋体"/>
                <w:kern w:val="0"/>
                <w:szCs w:val="21"/>
              </w:rPr>
            </w:pPr>
            <w:r w:rsidRPr="00F145F7">
              <w:rPr>
                <w:rFonts w:ascii="宋体" w:hAnsi="宋体"/>
                <w:kern w:val="0"/>
                <w:szCs w:val="21"/>
              </w:rPr>
              <w:t>5.09%</w:t>
            </w:r>
          </w:p>
        </w:tc>
        <w:tc>
          <w:tcPr>
            <w:tcW w:w="1080" w:type="dxa"/>
          </w:tcPr>
          <w:p w:rsidR="00D4299F" w:rsidRPr="00F145F7" w:rsidRDefault="00D4299F" w:rsidP="00F145F7">
            <w:pPr>
              <w:spacing w:line="360" w:lineRule="auto"/>
              <w:jc w:val="center"/>
              <w:rPr>
                <w:rFonts w:ascii="宋体" w:cs="宋体"/>
                <w:kern w:val="0"/>
                <w:szCs w:val="21"/>
              </w:rPr>
            </w:pPr>
            <w:r w:rsidRPr="00F145F7">
              <w:rPr>
                <w:rFonts w:ascii="宋体" w:hAnsi="宋体"/>
                <w:kern w:val="0"/>
                <w:szCs w:val="21"/>
              </w:rPr>
              <w:t>36.68%</w:t>
            </w:r>
          </w:p>
        </w:tc>
        <w:tc>
          <w:tcPr>
            <w:tcW w:w="1260" w:type="dxa"/>
          </w:tcPr>
          <w:p w:rsidR="00D4299F" w:rsidRPr="00F145F7" w:rsidRDefault="00D4299F" w:rsidP="00F145F7">
            <w:pPr>
              <w:spacing w:line="360" w:lineRule="auto"/>
              <w:jc w:val="center"/>
              <w:rPr>
                <w:rFonts w:ascii="宋体" w:cs="宋体"/>
                <w:kern w:val="0"/>
                <w:szCs w:val="21"/>
              </w:rPr>
            </w:pPr>
            <w:r w:rsidRPr="00F145F7">
              <w:rPr>
                <w:rFonts w:ascii="宋体" w:hAnsi="宋体"/>
                <w:kern w:val="0"/>
                <w:szCs w:val="21"/>
              </w:rPr>
              <w:t>55.02%</w:t>
            </w:r>
          </w:p>
        </w:tc>
        <w:tc>
          <w:tcPr>
            <w:tcW w:w="1260" w:type="dxa"/>
          </w:tcPr>
          <w:p w:rsidR="00D4299F" w:rsidRPr="00F145F7" w:rsidRDefault="00D4299F" w:rsidP="00F145F7">
            <w:pPr>
              <w:spacing w:line="360" w:lineRule="auto"/>
              <w:jc w:val="center"/>
              <w:rPr>
                <w:rFonts w:ascii="宋体" w:cs="宋体"/>
                <w:kern w:val="0"/>
                <w:szCs w:val="21"/>
              </w:rPr>
            </w:pPr>
            <w:r w:rsidRPr="00F145F7">
              <w:rPr>
                <w:rFonts w:ascii="宋体" w:hAnsi="宋体"/>
                <w:kern w:val="0"/>
                <w:szCs w:val="21"/>
              </w:rPr>
              <w:t>1.96%</w:t>
            </w:r>
          </w:p>
        </w:tc>
        <w:tc>
          <w:tcPr>
            <w:tcW w:w="1080" w:type="dxa"/>
            <w:vMerge/>
          </w:tcPr>
          <w:p w:rsidR="00D4299F" w:rsidRPr="00F145F7" w:rsidRDefault="00D4299F" w:rsidP="00771FBA">
            <w:pPr>
              <w:spacing w:line="360" w:lineRule="auto"/>
              <w:jc w:val="center"/>
              <w:rPr>
                <w:rFonts w:ascii="宋体" w:cs="宋体"/>
                <w:kern w:val="0"/>
                <w:szCs w:val="21"/>
              </w:rPr>
            </w:pPr>
          </w:p>
        </w:tc>
        <w:tc>
          <w:tcPr>
            <w:tcW w:w="1416" w:type="dxa"/>
            <w:vMerge/>
          </w:tcPr>
          <w:p w:rsidR="00D4299F" w:rsidRPr="00F145F7" w:rsidRDefault="00D4299F" w:rsidP="00F145F7">
            <w:pPr>
              <w:spacing w:line="360" w:lineRule="auto"/>
              <w:jc w:val="center"/>
              <w:rPr>
                <w:rFonts w:ascii="宋体" w:cs="宋体"/>
                <w:kern w:val="0"/>
                <w:szCs w:val="21"/>
              </w:rPr>
            </w:pPr>
          </w:p>
        </w:tc>
      </w:tr>
      <w:tr w:rsidR="00D4299F" w:rsidRPr="002259A4" w:rsidTr="00771FBA">
        <w:trPr>
          <w:trHeight w:val="414"/>
          <w:jc w:val="center"/>
        </w:trPr>
        <w:tc>
          <w:tcPr>
            <w:tcW w:w="1364" w:type="dxa"/>
          </w:tcPr>
          <w:p w:rsidR="00D4299F" w:rsidRPr="00F145F7" w:rsidRDefault="00D4299F" w:rsidP="00F145F7">
            <w:pPr>
              <w:spacing w:line="360" w:lineRule="auto"/>
              <w:jc w:val="center"/>
              <w:rPr>
                <w:rFonts w:ascii="宋体"/>
                <w:kern w:val="0"/>
                <w:szCs w:val="21"/>
              </w:rPr>
            </w:pPr>
            <w:r w:rsidRPr="00F145F7">
              <w:rPr>
                <w:rFonts w:ascii="宋体" w:hAnsi="宋体" w:hint="eastAsia"/>
                <w:kern w:val="0"/>
                <w:szCs w:val="21"/>
              </w:rPr>
              <w:t>信息学院</w:t>
            </w:r>
          </w:p>
        </w:tc>
        <w:tc>
          <w:tcPr>
            <w:tcW w:w="741" w:type="dxa"/>
          </w:tcPr>
          <w:p w:rsidR="00D4299F" w:rsidRPr="00F145F7" w:rsidRDefault="00D4299F" w:rsidP="00F145F7">
            <w:pPr>
              <w:spacing w:line="360" w:lineRule="auto"/>
              <w:jc w:val="center"/>
              <w:rPr>
                <w:rFonts w:ascii="宋体" w:hAnsi="宋体"/>
                <w:kern w:val="0"/>
                <w:szCs w:val="21"/>
              </w:rPr>
            </w:pPr>
            <w:r w:rsidRPr="00F145F7">
              <w:rPr>
                <w:rFonts w:ascii="宋体" w:hAnsi="宋体"/>
                <w:kern w:val="0"/>
                <w:szCs w:val="21"/>
              </w:rPr>
              <w:t>1304</w:t>
            </w:r>
          </w:p>
        </w:tc>
        <w:tc>
          <w:tcPr>
            <w:tcW w:w="741" w:type="dxa"/>
          </w:tcPr>
          <w:p w:rsidR="00D4299F" w:rsidRPr="00F145F7" w:rsidRDefault="00D4299F" w:rsidP="00F145F7">
            <w:pPr>
              <w:spacing w:line="360" w:lineRule="auto"/>
              <w:jc w:val="center"/>
              <w:rPr>
                <w:rFonts w:ascii="宋体" w:hAnsi="宋体"/>
                <w:kern w:val="0"/>
                <w:szCs w:val="21"/>
              </w:rPr>
            </w:pPr>
            <w:r w:rsidRPr="00F145F7">
              <w:rPr>
                <w:rFonts w:ascii="宋体" w:hAnsi="宋体"/>
                <w:kern w:val="0"/>
                <w:szCs w:val="21"/>
              </w:rPr>
              <w:t>1265</w:t>
            </w:r>
          </w:p>
        </w:tc>
        <w:tc>
          <w:tcPr>
            <w:tcW w:w="704" w:type="dxa"/>
            <w:vMerge/>
          </w:tcPr>
          <w:p w:rsidR="00D4299F" w:rsidRPr="00F145F7" w:rsidRDefault="00D4299F" w:rsidP="00771FBA">
            <w:pPr>
              <w:spacing w:line="360" w:lineRule="auto"/>
              <w:jc w:val="center"/>
              <w:rPr>
                <w:rFonts w:ascii="宋体" w:cs="宋体"/>
                <w:kern w:val="0"/>
                <w:szCs w:val="21"/>
              </w:rPr>
            </w:pPr>
          </w:p>
        </w:tc>
        <w:tc>
          <w:tcPr>
            <w:tcW w:w="1080" w:type="dxa"/>
          </w:tcPr>
          <w:p w:rsidR="00D4299F" w:rsidRPr="00F145F7" w:rsidRDefault="00D4299F" w:rsidP="00F145F7">
            <w:pPr>
              <w:spacing w:line="360" w:lineRule="auto"/>
              <w:jc w:val="center"/>
              <w:rPr>
                <w:rFonts w:ascii="宋体" w:cs="宋体"/>
                <w:kern w:val="0"/>
                <w:szCs w:val="21"/>
              </w:rPr>
            </w:pPr>
            <w:r w:rsidRPr="00F145F7">
              <w:rPr>
                <w:rFonts w:ascii="宋体" w:hAnsi="宋体"/>
                <w:kern w:val="0"/>
                <w:szCs w:val="21"/>
              </w:rPr>
              <w:t>2.45%</w:t>
            </w:r>
          </w:p>
        </w:tc>
        <w:tc>
          <w:tcPr>
            <w:tcW w:w="1080" w:type="dxa"/>
          </w:tcPr>
          <w:p w:rsidR="00D4299F" w:rsidRPr="00F145F7" w:rsidRDefault="00D4299F" w:rsidP="00F145F7">
            <w:pPr>
              <w:spacing w:line="360" w:lineRule="auto"/>
              <w:jc w:val="center"/>
              <w:rPr>
                <w:rFonts w:ascii="宋体" w:cs="宋体"/>
                <w:kern w:val="0"/>
                <w:szCs w:val="21"/>
              </w:rPr>
            </w:pPr>
            <w:r w:rsidRPr="00F145F7">
              <w:rPr>
                <w:rFonts w:ascii="宋体" w:hAnsi="宋体"/>
                <w:kern w:val="0"/>
                <w:szCs w:val="21"/>
              </w:rPr>
              <w:t>26.07%</w:t>
            </w:r>
          </w:p>
        </w:tc>
        <w:tc>
          <w:tcPr>
            <w:tcW w:w="1260" w:type="dxa"/>
          </w:tcPr>
          <w:p w:rsidR="00D4299F" w:rsidRPr="00F145F7" w:rsidRDefault="00D4299F" w:rsidP="00F145F7">
            <w:pPr>
              <w:spacing w:line="360" w:lineRule="auto"/>
              <w:jc w:val="center"/>
              <w:rPr>
                <w:rFonts w:ascii="宋体" w:cs="宋体"/>
                <w:kern w:val="0"/>
                <w:szCs w:val="21"/>
              </w:rPr>
            </w:pPr>
            <w:r w:rsidRPr="00F145F7">
              <w:rPr>
                <w:rFonts w:ascii="宋体" w:hAnsi="宋体"/>
                <w:kern w:val="0"/>
                <w:szCs w:val="21"/>
              </w:rPr>
              <w:t>63.11%</w:t>
            </w:r>
          </w:p>
        </w:tc>
        <w:tc>
          <w:tcPr>
            <w:tcW w:w="1260" w:type="dxa"/>
          </w:tcPr>
          <w:p w:rsidR="00D4299F" w:rsidRPr="00F145F7" w:rsidRDefault="00D4299F" w:rsidP="00F145F7">
            <w:pPr>
              <w:spacing w:line="360" w:lineRule="auto"/>
              <w:jc w:val="center"/>
              <w:rPr>
                <w:rFonts w:ascii="宋体" w:cs="宋体"/>
                <w:kern w:val="0"/>
                <w:szCs w:val="21"/>
              </w:rPr>
            </w:pPr>
            <w:r w:rsidRPr="00F145F7">
              <w:rPr>
                <w:rFonts w:ascii="宋体" w:hAnsi="宋体"/>
                <w:kern w:val="0"/>
                <w:szCs w:val="21"/>
              </w:rPr>
              <w:t>4.14%</w:t>
            </w:r>
          </w:p>
        </w:tc>
        <w:tc>
          <w:tcPr>
            <w:tcW w:w="1080" w:type="dxa"/>
            <w:vMerge/>
          </w:tcPr>
          <w:p w:rsidR="00D4299F" w:rsidRPr="00F145F7" w:rsidRDefault="00D4299F" w:rsidP="00771FBA">
            <w:pPr>
              <w:spacing w:line="360" w:lineRule="auto"/>
              <w:jc w:val="center"/>
              <w:rPr>
                <w:rFonts w:ascii="宋体" w:cs="宋体"/>
                <w:kern w:val="0"/>
                <w:szCs w:val="21"/>
              </w:rPr>
            </w:pPr>
          </w:p>
        </w:tc>
        <w:tc>
          <w:tcPr>
            <w:tcW w:w="1416" w:type="dxa"/>
            <w:vMerge/>
          </w:tcPr>
          <w:p w:rsidR="00D4299F" w:rsidRPr="00F145F7" w:rsidRDefault="00D4299F" w:rsidP="00F145F7">
            <w:pPr>
              <w:spacing w:line="360" w:lineRule="auto"/>
              <w:jc w:val="center"/>
              <w:rPr>
                <w:rFonts w:ascii="宋体" w:cs="宋体"/>
                <w:kern w:val="0"/>
                <w:szCs w:val="21"/>
              </w:rPr>
            </w:pPr>
          </w:p>
        </w:tc>
      </w:tr>
      <w:tr w:rsidR="00D4299F" w:rsidRPr="002259A4" w:rsidTr="00771FBA">
        <w:trPr>
          <w:trHeight w:val="406"/>
          <w:jc w:val="center"/>
        </w:trPr>
        <w:tc>
          <w:tcPr>
            <w:tcW w:w="1364" w:type="dxa"/>
          </w:tcPr>
          <w:p w:rsidR="00D4299F" w:rsidRPr="00F145F7" w:rsidRDefault="00D4299F" w:rsidP="00F145F7">
            <w:pPr>
              <w:spacing w:line="360" w:lineRule="auto"/>
              <w:jc w:val="center"/>
              <w:rPr>
                <w:rFonts w:ascii="宋体"/>
                <w:kern w:val="0"/>
                <w:szCs w:val="21"/>
              </w:rPr>
            </w:pPr>
            <w:r w:rsidRPr="00F145F7">
              <w:rPr>
                <w:rFonts w:ascii="宋体" w:hAnsi="宋体" w:hint="eastAsia"/>
                <w:kern w:val="0"/>
                <w:szCs w:val="21"/>
              </w:rPr>
              <w:t>外语学院</w:t>
            </w:r>
          </w:p>
        </w:tc>
        <w:tc>
          <w:tcPr>
            <w:tcW w:w="741" w:type="dxa"/>
          </w:tcPr>
          <w:p w:rsidR="00D4299F" w:rsidRPr="00F145F7" w:rsidRDefault="00D4299F" w:rsidP="00F145F7">
            <w:pPr>
              <w:spacing w:line="360" w:lineRule="auto"/>
              <w:jc w:val="center"/>
              <w:rPr>
                <w:rFonts w:ascii="宋体" w:hAnsi="宋体"/>
                <w:kern w:val="0"/>
                <w:szCs w:val="21"/>
              </w:rPr>
            </w:pPr>
            <w:r w:rsidRPr="00F145F7">
              <w:rPr>
                <w:rFonts w:ascii="宋体" w:hAnsi="宋体"/>
                <w:kern w:val="0"/>
                <w:szCs w:val="21"/>
              </w:rPr>
              <w:t>840</w:t>
            </w:r>
          </w:p>
        </w:tc>
        <w:tc>
          <w:tcPr>
            <w:tcW w:w="741" w:type="dxa"/>
          </w:tcPr>
          <w:p w:rsidR="00D4299F" w:rsidRPr="00F145F7" w:rsidRDefault="00D4299F" w:rsidP="00F145F7">
            <w:pPr>
              <w:spacing w:line="360" w:lineRule="auto"/>
              <w:jc w:val="center"/>
              <w:rPr>
                <w:rFonts w:ascii="宋体" w:hAnsi="宋体"/>
                <w:kern w:val="0"/>
                <w:szCs w:val="21"/>
              </w:rPr>
            </w:pPr>
            <w:r w:rsidRPr="00F145F7">
              <w:rPr>
                <w:rFonts w:ascii="宋体" w:hAnsi="宋体"/>
                <w:kern w:val="0"/>
                <w:szCs w:val="21"/>
              </w:rPr>
              <w:t>807</w:t>
            </w:r>
          </w:p>
        </w:tc>
        <w:tc>
          <w:tcPr>
            <w:tcW w:w="704" w:type="dxa"/>
            <w:vMerge/>
          </w:tcPr>
          <w:p w:rsidR="00D4299F" w:rsidRPr="00F145F7" w:rsidRDefault="00D4299F" w:rsidP="00771FBA">
            <w:pPr>
              <w:spacing w:line="360" w:lineRule="auto"/>
              <w:jc w:val="center"/>
              <w:rPr>
                <w:rFonts w:ascii="宋体" w:cs="宋体"/>
                <w:kern w:val="0"/>
                <w:szCs w:val="21"/>
              </w:rPr>
            </w:pPr>
          </w:p>
        </w:tc>
        <w:tc>
          <w:tcPr>
            <w:tcW w:w="1080" w:type="dxa"/>
          </w:tcPr>
          <w:p w:rsidR="00D4299F" w:rsidRPr="00F145F7" w:rsidRDefault="00D4299F" w:rsidP="00F145F7">
            <w:pPr>
              <w:spacing w:line="360" w:lineRule="auto"/>
              <w:jc w:val="center"/>
              <w:rPr>
                <w:rFonts w:ascii="宋体" w:cs="宋体"/>
                <w:kern w:val="0"/>
                <w:szCs w:val="21"/>
              </w:rPr>
            </w:pPr>
            <w:r w:rsidRPr="00F145F7">
              <w:rPr>
                <w:rFonts w:ascii="宋体" w:hAnsi="宋体"/>
                <w:kern w:val="0"/>
                <w:szCs w:val="21"/>
              </w:rPr>
              <w:t>3.10%</w:t>
            </w:r>
          </w:p>
        </w:tc>
        <w:tc>
          <w:tcPr>
            <w:tcW w:w="1080" w:type="dxa"/>
          </w:tcPr>
          <w:p w:rsidR="00D4299F" w:rsidRPr="00F145F7" w:rsidRDefault="00D4299F" w:rsidP="00F145F7">
            <w:pPr>
              <w:spacing w:line="360" w:lineRule="auto"/>
              <w:jc w:val="center"/>
              <w:rPr>
                <w:rFonts w:ascii="宋体" w:cs="宋体"/>
                <w:kern w:val="0"/>
                <w:szCs w:val="21"/>
              </w:rPr>
            </w:pPr>
            <w:r w:rsidRPr="00F145F7">
              <w:rPr>
                <w:rFonts w:ascii="宋体" w:hAnsi="宋体"/>
                <w:kern w:val="0"/>
                <w:szCs w:val="21"/>
              </w:rPr>
              <w:t>30.48%</w:t>
            </w:r>
          </w:p>
        </w:tc>
        <w:tc>
          <w:tcPr>
            <w:tcW w:w="1260" w:type="dxa"/>
          </w:tcPr>
          <w:p w:rsidR="00D4299F" w:rsidRPr="00F145F7" w:rsidRDefault="00D4299F" w:rsidP="00F145F7">
            <w:pPr>
              <w:spacing w:line="360" w:lineRule="auto"/>
              <w:jc w:val="center"/>
              <w:rPr>
                <w:rFonts w:ascii="宋体" w:cs="宋体"/>
                <w:kern w:val="0"/>
                <w:szCs w:val="21"/>
              </w:rPr>
            </w:pPr>
            <w:r w:rsidRPr="00F145F7">
              <w:rPr>
                <w:rFonts w:ascii="宋体" w:hAnsi="宋体"/>
                <w:kern w:val="0"/>
                <w:szCs w:val="21"/>
              </w:rPr>
              <w:t>58.81%</w:t>
            </w:r>
          </w:p>
        </w:tc>
        <w:tc>
          <w:tcPr>
            <w:tcW w:w="1260" w:type="dxa"/>
          </w:tcPr>
          <w:p w:rsidR="00D4299F" w:rsidRPr="00F145F7" w:rsidRDefault="00D4299F" w:rsidP="00F145F7">
            <w:pPr>
              <w:spacing w:line="360" w:lineRule="auto"/>
              <w:jc w:val="center"/>
              <w:rPr>
                <w:rFonts w:ascii="宋体" w:cs="宋体"/>
                <w:kern w:val="0"/>
                <w:szCs w:val="21"/>
              </w:rPr>
            </w:pPr>
            <w:r w:rsidRPr="00F145F7">
              <w:rPr>
                <w:rFonts w:ascii="宋体" w:hAnsi="宋体"/>
                <w:kern w:val="0"/>
                <w:szCs w:val="21"/>
              </w:rPr>
              <w:t>3.88%</w:t>
            </w:r>
          </w:p>
        </w:tc>
        <w:tc>
          <w:tcPr>
            <w:tcW w:w="1080" w:type="dxa"/>
            <w:vMerge/>
          </w:tcPr>
          <w:p w:rsidR="00D4299F" w:rsidRPr="00F145F7" w:rsidRDefault="00D4299F" w:rsidP="00771FBA">
            <w:pPr>
              <w:spacing w:line="360" w:lineRule="auto"/>
              <w:jc w:val="center"/>
              <w:rPr>
                <w:rFonts w:ascii="宋体" w:cs="宋体"/>
                <w:kern w:val="0"/>
                <w:szCs w:val="21"/>
              </w:rPr>
            </w:pPr>
          </w:p>
        </w:tc>
        <w:tc>
          <w:tcPr>
            <w:tcW w:w="1416" w:type="dxa"/>
            <w:vMerge/>
          </w:tcPr>
          <w:p w:rsidR="00D4299F" w:rsidRPr="00F145F7" w:rsidRDefault="00D4299F" w:rsidP="00F145F7">
            <w:pPr>
              <w:spacing w:line="360" w:lineRule="auto"/>
              <w:jc w:val="center"/>
              <w:rPr>
                <w:rFonts w:ascii="宋体" w:cs="宋体"/>
                <w:kern w:val="0"/>
                <w:szCs w:val="21"/>
              </w:rPr>
            </w:pPr>
          </w:p>
        </w:tc>
      </w:tr>
      <w:tr w:rsidR="00D4299F" w:rsidRPr="002259A4" w:rsidTr="00771FBA">
        <w:trPr>
          <w:trHeight w:val="427"/>
          <w:jc w:val="center"/>
        </w:trPr>
        <w:tc>
          <w:tcPr>
            <w:tcW w:w="1364" w:type="dxa"/>
          </w:tcPr>
          <w:p w:rsidR="00D4299F" w:rsidRPr="00F145F7" w:rsidRDefault="00D4299F" w:rsidP="00F145F7">
            <w:pPr>
              <w:spacing w:line="360" w:lineRule="auto"/>
              <w:jc w:val="center"/>
              <w:rPr>
                <w:rFonts w:ascii="宋体"/>
                <w:kern w:val="0"/>
                <w:szCs w:val="21"/>
              </w:rPr>
            </w:pPr>
            <w:r w:rsidRPr="00F145F7">
              <w:rPr>
                <w:rFonts w:ascii="宋体" w:hAnsi="宋体" w:hint="eastAsia"/>
                <w:kern w:val="0"/>
                <w:szCs w:val="21"/>
              </w:rPr>
              <w:t>爱恩学院</w:t>
            </w:r>
          </w:p>
        </w:tc>
        <w:tc>
          <w:tcPr>
            <w:tcW w:w="741" w:type="dxa"/>
          </w:tcPr>
          <w:p w:rsidR="00D4299F" w:rsidRPr="00F145F7" w:rsidRDefault="00D4299F" w:rsidP="00F145F7">
            <w:pPr>
              <w:spacing w:line="360" w:lineRule="auto"/>
              <w:jc w:val="center"/>
              <w:rPr>
                <w:rFonts w:ascii="宋体" w:hAnsi="宋体"/>
                <w:kern w:val="0"/>
                <w:szCs w:val="21"/>
              </w:rPr>
            </w:pPr>
            <w:r w:rsidRPr="00F145F7">
              <w:rPr>
                <w:rFonts w:ascii="宋体" w:hAnsi="宋体"/>
                <w:kern w:val="0"/>
                <w:szCs w:val="21"/>
              </w:rPr>
              <w:t>1489</w:t>
            </w:r>
          </w:p>
        </w:tc>
        <w:tc>
          <w:tcPr>
            <w:tcW w:w="741" w:type="dxa"/>
          </w:tcPr>
          <w:p w:rsidR="00D4299F" w:rsidRPr="00F145F7" w:rsidRDefault="00D4299F" w:rsidP="00F145F7">
            <w:pPr>
              <w:spacing w:line="360" w:lineRule="auto"/>
              <w:jc w:val="center"/>
              <w:rPr>
                <w:rFonts w:ascii="宋体" w:hAnsi="宋体"/>
                <w:kern w:val="0"/>
                <w:szCs w:val="21"/>
              </w:rPr>
            </w:pPr>
            <w:r w:rsidRPr="00F145F7">
              <w:rPr>
                <w:rFonts w:ascii="宋体" w:hAnsi="宋体"/>
                <w:kern w:val="0"/>
                <w:szCs w:val="21"/>
              </w:rPr>
              <w:t>1452</w:t>
            </w:r>
          </w:p>
        </w:tc>
        <w:tc>
          <w:tcPr>
            <w:tcW w:w="704" w:type="dxa"/>
            <w:vMerge/>
          </w:tcPr>
          <w:p w:rsidR="00D4299F" w:rsidRPr="00F145F7" w:rsidRDefault="00D4299F" w:rsidP="00771FBA">
            <w:pPr>
              <w:spacing w:line="360" w:lineRule="auto"/>
              <w:jc w:val="center"/>
              <w:rPr>
                <w:rFonts w:ascii="宋体" w:cs="宋体"/>
                <w:kern w:val="0"/>
                <w:szCs w:val="21"/>
              </w:rPr>
            </w:pPr>
          </w:p>
        </w:tc>
        <w:tc>
          <w:tcPr>
            <w:tcW w:w="1080" w:type="dxa"/>
          </w:tcPr>
          <w:p w:rsidR="00D4299F" w:rsidRPr="00F145F7" w:rsidRDefault="00D4299F" w:rsidP="00F145F7">
            <w:pPr>
              <w:spacing w:line="360" w:lineRule="auto"/>
              <w:jc w:val="center"/>
              <w:rPr>
                <w:rFonts w:ascii="宋体" w:cs="宋体"/>
                <w:kern w:val="0"/>
                <w:szCs w:val="21"/>
              </w:rPr>
            </w:pPr>
            <w:r w:rsidRPr="00F145F7">
              <w:rPr>
                <w:rFonts w:ascii="宋体" w:hAnsi="宋体"/>
                <w:kern w:val="0"/>
                <w:szCs w:val="21"/>
              </w:rPr>
              <w:t>5.51%</w:t>
            </w:r>
          </w:p>
        </w:tc>
        <w:tc>
          <w:tcPr>
            <w:tcW w:w="1080" w:type="dxa"/>
          </w:tcPr>
          <w:p w:rsidR="00D4299F" w:rsidRPr="00F145F7" w:rsidRDefault="00D4299F" w:rsidP="00F145F7">
            <w:pPr>
              <w:spacing w:line="360" w:lineRule="auto"/>
              <w:jc w:val="center"/>
              <w:rPr>
                <w:rFonts w:ascii="宋体" w:cs="宋体"/>
                <w:kern w:val="0"/>
                <w:szCs w:val="21"/>
              </w:rPr>
            </w:pPr>
            <w:r w:rsidRPr="00F145F7">
              <w:rPr>
                <w:rFonts w:ascii="宋体" w:hAnsi="宋体"/>
                <w:kern w:val="0"/>
                <w:szCs w:val="21"/>
              </w:rPr>
              <w:t>29.89%</w:t>
            </w:r>
          </w:p>
        </w:tc>
        <w:tc>
          <w:tcPr>
            <w:tcW w:w="1260" w:type="dxa"/>
          </w:tcPr>
          <w:p w:rsidR="00D4299F" w:rsidRPr="00F145F7" w:rsidRDefault="00D4299F" w:rsidP="00F145F7">
            <w:pPr>
              <w:spacing w:line="360" w:lineRule="auto"/>
              <w:jc w:val="center"/>
              <w:rPr>
                <w:rFonts w:ascii="宋体" w:cs="宋体"/>
                <w:kern w:val="0"/>
                <w:szCs w:val="21"/>
              </w:rPr>
            </w:pPr>
            <w:r w:rsidRPr="00F145F7">
              <w:rPr>
                <w:rFonts w:ascii="宋体" w:hAnsi="宋体"/>
                <w:kern w:val="0"/>
                <w:szCs w:val="21"/>
              </w:rPr>
              <w:t>59.64%</w:t>
            </w:r>
          </w:p>
        </w:tc>
        <w:tc>
          <w:tcPr>
            <w:tcW w:w="1260" w:type="dxa"/>
          </w:tcPr>
          <w:p w:rsidR="00D4299F" w:rsidRPr="00F145F7" w:rsidRDefault="00D4299F" w:rsidP="00F145F7">
            <w:pPr>
              <w:spacing w:line="360" w:lineRule="auto"/>
              <w:jc w:val="center"/>
              <w:rPr>
                <w:rFonts w:ascii="宋体" w:cs="宋体"/>
                <w:kern w:val="0"/>
                <w:szCs w:val="21"/>
              </w:rPr>
            </w:pPr>
            <w:r w:rsidRPr="00F145F7">
              <w:rPr>
                <w:rFonts w:ascii="宋体" w:hAnsi="宋体"/>
                <w:kern w:val="0"/>
                <w:szCs w:val="21"/>
              </w:rPr>
              <w:t>2.48%</w:t>
            </w:r>
          </w:p>
        </w:tc>
        <w:tc>
          <w:tcPr>
            <w:tcW w:w="1080" w:type="dxa"/>
            <w:vMerge/>
          </w:tcPr>
          <w:p w:rsidR="00D4299F" w:rsidRPr="00F145F7" w:rsidRDefault="00D4299F" w:rsidP="00771FBA">
            <w:pPr>
              <w:spacing w:line="360" w:lineRule="auto"/>
              <w:jc w:val="center"/>
              <w:rPr>
                <w:rFonts w:ascii="宋体" w:cs="宋体"/>
                <w:kern w:val="0"/>
                <w:szCs w:val="21"/>
              </w:rPr>
            </w:pPr>
          </w:p>
        </w:tc>
        <w:tc>
          <w:tcPr>
            <w:tcW w:w="1416" w:type="dxa"/>
            <w:vMerge/>
          </w:tcPr>
          <w:p w:rsidR="00D4299F" w:rsidRPr="00F145F7" w:rsidRDefault="00D4299F" w:rsidP="00F145F7">
            <w:pPr>
              <w:spacing w:line="360" w:lineRule="auto"/>
              <w:jc w:val="center"/>
              <w:rPr>
                <w:rFonts w:ascii="宋体" w:cs="宋体"/>
                <w:kern w:val="0"/>
                <w:szCs w:val="21"/>
              </w:rPr>
            </w:pPr>
          </w:p>
        </w:tc>
      </w:tr>
    </w:tbl>
    <w:p w:rsidR="00D4299F" w:rsidRDefault="00D4299F" w:rsidP="00667E6E">
      <w:pPr>
        <w:spacing w:line="360" w:lineRule="auto"/>
        <w:jc w:val="center"/>
        <w:rPr>
          <w:rFonts w:ascii="宋体"/>
          <w:szCs w:val="21"/>
        </w:rPr>
      </w:pPr>
    </w:p>
    <w:p w:rsidR="00D4299F" w:rsidRPr="002259A4" w:rsidRDefault="00D4299F" w:rsidP="00E1702D">
      <w:pPr>
        <w:spacing w:line="360" w:lineRule="auto"/>
        <w:rPr>
          <w:rFonts w:ascii="宋体"/>
          <w:szCs w:val="21"/>
        </w:rPr>
      </w:pPr>
      <w:r w:rsidRPr="00F145F7">
        <w:rPr>
          <w:rFonts w:ascii="宋体"/>
          <w:noProof/>
          <w:szCs w:val="21"/>
        </w:rPr>
        <w:object w:dxaOrig="8066" w:dyaOrig="4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311.25pt" o:ole="">
            <v:imagedata r:id="rId6" o:title="" croptop="-4576f" cropbottom="-29571f" cropleft="-15356f" cropright="-1991f"/>
            <o:lock v:ext="edit" aspectratio="f"/>
          </v:shape>
          <o:OLEObject Type="Embed" ProgID="Excel.Chart.8" ShapeID="_x0000_i1025" DrawAspect="Content" ObjectID="_1539409748" r:id="rId7"/>
        </w:object>
      </w:r>
    </w:p>
    <w:p w:rsidR="00D4299F" w:rsidRPr="002259A4" w:rsidRDefault="00D4299F" w:rsidP="00667E6E">
      <w:pPr>
        <w:spacing w:line="360" w:lineRule="auto"/>
        <w:jc w:val="center"/>
        <w:rPr>
          <w:rFonts w:ascii="宋体"/>
          <w:b/>
          <w:szCs w:val="21"/>
        </w:rPr>
      </w:pPr>
      <w:r w:rsidRPr="00F145F7">
        <w:rPr>
          <w:rFonts w:ascii="宋体"/>
          <w:b/>
          <w:noProof/>
          <w:szCs w:val="21"/>
        </w:rPr>
        <w:object w:dxaOrig="7525" w:dyaOrig="3780">
          <v:shape id="_x0000_i1026" type="#_x0000_t75" style="width:398.25pt;height:213.75pt" o:ole="">
            <v:imagedata r:id="rId8" o:title="" croptop="-2601f" cropbottom="-3207f" cropleft="-941f" cropright="-1481f"/>
            <o:lock v:ext="edit" aspectratio="f"/>
          </v:shape>
          <o:OLEObject Type="Embed" ProgID="Excel.Chart.8" ShapeID="_x0000_i1026" DrawAspect="Content" ObjectID="_1539409749" r:id="rId9"/>
        </w:object>
      </w:r>
    </w:p>
    <w:p w:rsidR="00D4299F" w:rsidRPr="0049487D" w:rsidRDefault="00D4299F" w:rsidP="0049487D">
      <w:pPr>
        <w:spacing w:line="324" w:lineRule="auto"/>
        <w:ind w:firstLineChars="250" w:firstLine="700"/>
        <w:rPr>
          <w:rFonts w:ascii="宋体"/>
          <w:sz w:val="28"/>
          <w:szCs w:val="28"/>
        </w:rPr>
      </w:pPr>
      <w:r w:rsidRPr="0049487D">
        <w:rPr>
          <w:rFonts w:ascii="宋体" w:hAnsi="宋体" w:hint="eastAsia"/>
          <w:sz w:val="28"/>
          <w:szCs w:val="28"/>
        </w:rPr>
        <w:t>从以上图表可知，与去年体测情况相比，今年接受测评学生优良率有了明显提高。</w:t>
      </w:r>
      <w:r w:rsidRPr="0049487D">
        <w:rPr>
          <w:rFonts w:ascii="宋体" w:hAnsi="宋体"/>
          <w:sz w:val="28"/>
          <w:szCs w:val="28"/>
        </w:rPr>
        <w:t>2015</w:t>
      </w:r>
      <w:r w:rsidRPr="0049487D">
        <w:rPr>
          <w:rFonts w:ascii="宋体" w:hAnsi="宋体" w:hint="eastAsia"/>
          <w:sz w:val="28"/>
          <w:szCs w:val="28"/>
        </w:rPr>
        <w:t>年优秀率为</w:t>
      </w:r>
      <w:r w:rsidRPr="0049487D">
        <w:rPr>
          <w:rFonts w:ascii="宋体" w:hAnsi="宋体"/>
          <w:sz w:val="28"/>
          <w:szCs w:val="28"/>
        </w:rPr>
        <w:t>4.38%</w:t>
      </w:r>
      <w:r w:rsidRPr="0049487D">
        <w:rPr>
          <w:rFonts w:ascii="宋体" w:hAnsi="宋体" w:hint="eastAsia"/>
          <w:sz w:val="28"/>
          <w:szCs w:val="28"/>
        </w:rPr>
        <w:t>，</w:t>
      </w:r>
      <w:r w:rsidRPr="0049487D">
        <w:rPr>
          <w:rFonts w:ascii="宋体" w:hAnsi="宋体"/>
          <w:sz w:val="28"/>
          <w:szCs w:val="28"/>
        </w:rPr>
        <w:t>2014</w:t>
      </w:r>
      <w:r w:rsidRPr="0049487D">
        <w:rPr>
          <w:rFonts w:ascii="宋体" w:hAnsi="宋体" w:hint="eastAsia"/>
          <w:sz w:val="28"/>
          <w:szCs w:val="28"/>
        </w:rPr>
        <w:t>年为</w:t>
      </w:r>
      <w:r w:rsidRPr="0049487D">
        <w:rPr>
          <w:rFonts w:ascii="宋体" w:hAnsi="宋体"/>
          <w:sz w:val="28"/>
          <w:szCs w:val="28"/>
        </w:rPr>
        <w:t>1.10%</w:t>
      </w:r>
      <w:r w:rsidRPr="0049487D">
        <w:rPr>
          <w:rFonts w:ascii="宋体" w:hAnsi="宋体" w:hint="eastAsia"/>
          <w:sz w:val="28"/>
          <w:szCs w:val="28"/>
        </w:rPr>
        <w:t>，相比提高了</w:t>
      </w:r>
      <w:r w:rsidRPr="0049487D">
        <w:rPr>
          <w:rFonts w:ascii="宋体" w:hAnsi="宋体"/>
          <w:sz w:val="28"/>
          <w:szCs w:val="28"/>
        </w:rPr>
        <w:t>3.28%</w:t>
      </w:r>
      <w:r w:rsidRPr="0049487D">
        <w:rPr>
          <w:rFonts w:ascii="宋体" w:hAnsi="宋体" w:hint="eastAsia"/>
          <w:sz w:val="28"/>
          <w:szCs w:val="28"/>
        </w:rPr>
        <w:t>；</w:t>
      </w:r>
      <w:r w:rsidRPr="0049487D">
        <w:rPr>
          <w:rFonts w:ascii="宋体" w:hAnsi="宋体"/>
          <w:sz w:val="28"/>
          <w:szCs w:val="28"/>
        </w:rPr>
        <w:t>2015</w:t>
      </w:r>
      <w:r w:rsidRPr="0049487D">
        <w:rPr>
          <w:rFonts w:ascii="宋体" w:hAnsi="宋体" w:hint="eastAsia"/>
          <w:sz w:val="28"/>
          <w:szCs w:val="28"/>
        </w:rPr>
        <w:t>年良好率为</w:t>
      </w:r>
      <w:r w:rsidRPr="0049487D">
        <w:rPr>
          <w:rFonts w:ascii="宋体" w:hAnsi="宋体"/>
          <w:sz w:val="28"/>
          <w:szCs w:val="28"/>
        </w:rPr>
        <w:t>30.36%</w:t>
      </w:r>
      <w:r w:rsidRPr="0049487D">
        <w:rPr>
          <w:rFonts w:ascii="宋体" w:hAnsi="宋体" w:hint="eastAsia"/>
          <w:sz w:val="28"/>
          <w:szCs w:val="28"/>
        </w:rPr>
        <w:t>，</w:t>
      </w:r>
      <w:r w:rsidRPr="0049487D">
        <w:rPr>
          <w:rFonts w:ascii="宋体" w:hAnsi="宋体"/>
          <w:sz w:val="28"/>
          <w:szCs w:val="28"/>
        </w:rPr>
        <w:t>2014</w:t>
      </w:r>
      <w:r w:rsidRPr="0049487D">
        <w:rPr>
          <w:rFonts w:ascii="宋体" w:hAnsi="宋体" w:hint="eastAsia"/>
          <w:sz w:val="28"/>
          <w:szCs w:val="28"/>
        </w:rPr>
        <w:t>年为</w:t>
      </w:r>
      <w:r w:rsidRPr="0049487D">
        <w:rPr>
          <w:rFonts w:ascii="宋体" w:hAnsi="宋体"/>
          <w:sz w:val="28"/>
          <w:szCs w:val="28"/>
        </w:rPr>
        <w:t>17.70%</w:t>
      </w:r>
      <w:r w:rsidRPr="0049487D">
        <w:rPr>
          <w:rFonts w:ascii="宋体" w:hAnsi="宋体" w:hint="eastAsia"/>
          <w:sz w:val="28"/>
          <w:szCs w:val="28"/>
        </w:rPr>
        <w:t>，相比提高了</w:t>
      </w:r>
      <w:r w:rsidRPr="0049487D">
        <w:rPr>
          <w:rFonts w:ascii="宋体" w:hAnsi="宋体"/>
          <w:sz w:val="28"/>
          <w:szCs w:val="28"/>
        </w:rPr>
        <w:t>12.66%</w:t>
      </w:r>
      <w:r w:rsidRPr="0049487D">
        <w:rPr>
          <w:rFonts w:ascii="宋体" w:hAnsi="宋体" w:hint="eastAsia"/>
          <w:sz w:val="28"/>
          <w:szCs w:val="28"/>
        </w:rPr>
        <w:t>；</w:t>
      </w:r>
      <w:r w:rsidRPr="0049487D">
        <w:rPr>
          <w:rFonts w:ascii="宋体" w:hAnsi="宋体"/>
          <w:sz w:val="28"/>
          <w:szCs w:val="28"/>
        </w:rPr>
        <w:t>2015</w:t>
      </w:r>
      <w:r w:rsidRPr="0049487D">
        <w:rPr>
          <w:rFonts w:ascii="宋体" w:hAnsi="宋体" w:hint="eastAsia"/>
          <w:sz w:val="28"/>
          <w:szCs w:val="28"/>
        </w:rPr>
        <w:t>年不及格率相比</w:t>
      </w:r>
      <w:r w:rsidRPr="0049487D">
        <w:rPr>
          <w:rFonts w:ascii="宋体" w:hAnsi="宋体"/>
          <w:sz w:val="28"/>
          <w:szCs w:val="28"/>
        </w:rPr>
        <w:t>2014</w:t>
      </w:r>
      <w:r w:rsidRPr="0049487D">
        <w:rPr>
          <w:rFonts w:ascii="宋体" w:hAnsi="宋体" w:hint="eastAsia"/>
          <w:sz w:val="28"/>
          <w:szCs w:val="28"/>
        </w:rPr>
        <w:t>年有所下降，下降了</w:t>
      </w:r>
      <w:r w:rsidRPr="0049487D">
        <w:rPr>
          <w:rFonts w:ascii="宋体" w:hAnsi="宋体"/>
          <w:sz w:val="28"/>
          <w:szCs w:val="28"/>
        </w:rPr>
        <w:t>5.03%</w:t>
      </w:r>
      <w:r w:rsidRPr="0049487D">
        <w:rPr>
          <w:rFonts w:ascii="宋体" w:hAnsi="宋体" w:hint="eastAsia"/>
          <w:sz w:val="28"/>
          <w:szCs w:val="28"/>
        </w:rPr>
        <w:t>；</w:t>
      </w:r>
      <w:r w:rsidRPr="0049487D">
        <w:rPr>
          <w:rFonts w:ascii="宋体" w:hAnsi="宋体"/>
          <w:sz w:val="28"/>
          <w:szCs w:val="28"/>
        </w:rPr>
        <w:t>2015</w:t>
      </w:r>
      <w:r w:rsidRPr="0049487D">
        <w:rPr>
          <w:rFonts w:ascii="宋体" w:hAnsi="宋体" w:hint="eastAsia"/>
          <w:sz w:val="28"/>
          <w:szCs w:val="28"/>
        </w:rPr>
        <w:t>年的不合格率为</w:t>
      </w:r>
      <w:r w:rsidRPr="0049487D">
        <w:rPr>
          <w:rFonts w:ascii="宋体" w:hAnsi="宋体"/>
          <w:sz w:val="28"/>
          <w:szCs w:val="28"/>
        </w:rPr>
        <w:t>2.64%</w:t>
      </w:r>
      <w:r w:rsidRPr="0049487D">
        <w:rPr>
          <w:rFonts w:ascii="宋体" w:hAnsi="宋体" w:hint="eastAsia"/>
          <w:sz w:val="28"/>
          <w:szCs w:val="28"/>
        </w:rPr>
        <w:t>。</w:t>
      </w:r>
    </w:p>
    <w:p w:rsidR="00D4299F" w:rsidRPr="0049487D" w:rsidRDefault="00D4299F" w:rsidP="0049487D">
      <w:pPr>
        <w:spacing w:line="324" w:lineRule="auto"/>
        <w:ind w:firstLineChars="250" w:firstLine="700"/>
        <w:rPr>
          <w:rFonts w:ascii="宋体"/>
          <w:sz w:val="28"/>
          <w:szCs w:val="28"/>
        </w:rPr>
      </w:pPr>
      <w:r w:rsidRPr="0049487D">
        <w:rPr>
          <w:rFonts w:ascii="宋体" w:hAnsi="宋体" w:hint="eastAsia"/>
          <w:sz w:val="28"/>
          <w:szCs w:val="28"/>
        </w:rPr>
        <w:t>综上，此次测试工作取得了预期成果，在全面掌握学生体质水平的同时，为今后开展大规模的数据采集和水平测试工作积累了宝贵的经验。我校对此次体测的原始数据和统计资料进行了妥善保存，对体测结果进行分析并拟定了学生体质健康状况分析材料。</w:t>
      </w:r>
    </w:p>
    <w:p w:rsidR="00D4299F" w:rsidRDefault="00D4299F" w:rsidP="0049487D">
      <w:pPr>
        <w:spacing w:line="324" w:lineRule="auto"/>
        <w:ind w:firstLineChars="250" w:firstLine="700"/>
        <w:rPr>
          <w:rFonts w:ascii="宋体"/>
          <w:sz w:val="28"/>
          <w:szCs w:val="28"/>
        </w:rPr>
      </w:pPr>
      <w:r w:rsidRPr="0049487D">
        <w:rPr>
          <w:rFonts w:ascii="宋体" w:hAnsi="宋体" w:hint="eastAsia"/>
          <w:sz w:val="28"/>
          <w:szCs w:val="28"/>
        </w:rPr>
        <w:t>值得注意的是，落实教育部</w:t>
      </w:r>
      <w:r w:rsidRPr="0049487D">
        <w:rPr>
          <w:rFonts w:hint="eastAsia"/>
          <w:sz w:val="28"/>
          <w:szCs w:val="28"/>
          <w:shd w:val="clear" w:color="auto" w:fill="FFFFFF"/>
        </w:rPr>
        <w:t>修订的《国家学生体质健康标准》的测试工作还处在试运阶段，对《标准》的理解和认识也还是初步的，尚需广大体育工作者集思广益，在实践中积累经验，提高认识，形成理论并指导新的实践。</w:t>
      </w:r>
      <w:r w:rsidRPr="0049487D">
        <w:rPr>
          <w:rFonts w:ascii="宋体" w:hAnsi="宋体" w:hint="eastAsia"/>
          <w:sz w:val="28"/>
          <w:szCs w:val="28"/>
        </w:rPr>
        <w:t>实施《标准》质量的好坏不仅取决于测试的结果，更重要的是取决于开展活动的过程。如果活动过程开展的好，学生积极参加效果较之理想，反之则不尽如人意。任课教师应进一步增</w:t>
      </w:r>
      <w:r w:rsidRPr="0049487D">
        <w:rPr>
          <w:rFonts w:ascii="宋体" w:hAnsi="宋体" w:hint="eastAsia"/>
          <w:sz w:val="28"/>
          <w:szCs w:val="28"/>
        </w:rPr>
        <w:lastRenderedPageBreak/>
        <w:t>强对测试工作的责任感，主动耐心地做部分学生的动员和释疑工作，保证被测试学生的全面代表性。</w:t>
      </w:r>
    </w:p>
    <w:p w:rsidR="00D4299F" w:rsidRPr="0049487D" w:rsidRDefault="00D4299F" w:rsidP="00710381">
      <w:pPr>
        <w:spacing w:line="324" w:lineRule="auto"/>
        <w:ind w:firstLineChars="250" w:firstLine="700"/>
        <w:rPr>
          <w:rFonts w:ascii="宋体"/>
          <w:sz w:val="28"/>
          <w:szCs w:val="28"/>
        </w:rPr>
      </w:pPr>
      <w:r w:rsidRPr="0049487D">
        <w:rPr>
          <w:rFonts w:ascii="宋体" w:hAnsi="宋体" w:hint="eastAsia"/>
          <w:sz w:val="28"/>
          <w:szCs w:val="28"/>
        </w:rPr>
        <w:t>此次</w:t>
      </w:r>
      <w:r>
        <w:rPr>
          <w:rFonts w:ascii="宋体" w:hAnsi="宋体" w:hint="eastAsia"/>
          <w:sz w:val="28"/>
          <w:szCs w:val="28"/>
        </w:rPr>
        <w:t>体质</w:t>
      </w:r>
      <w:r w:rsidRPr="0049487D">
        <w:rPr>
          <w:rFonts w:ascii="宋体" w:hAnsi="宋体" w:hint="eastAsia"/>
          <w:sz w:val="28"/>
          <w:szCs w:val="28"/>
        </w:rPr>
        <w:t>测试工作，</w:t>
      </w:r>
      <w:r>
        <w:rPr>
          <w:rFonts w:ascii="宋体" w:hAnsi="宋体" w:hint="eastAsia"/>
          <w:sz w:val="28"/>
          <w:szCs w:val="28"/>
        </w:rPr>
        <w:t>最突出的特点在于分为上下半年两次进行，同时下学期安排了测试未达合格的学生补测，给学生提供了更多的机会，有利于体质测试工作的进一步完善发展。但是，需要注意的是，此次体侧工作中尚有一部分合乎要求的学生未参与测试，各学院</w:t>
      </w:r>
      <w:r w:rsidRPr="0049487D">
        <w:rPr>
          <w:rFonts w:ascii="宋体" w:hAnsi="宋体" w:hint="eastAsia"/>
          <w:sz w:val="28"/>
          <w:szCs w:val="28"/>
        </w:rPr>
        <w:t>要努力做好宣传工作，动员学生积极参与测试，解答学生的疑问，消除学生的顾虑，监督检查落实情况，最大可能地保证应有测试人数。同时，测试仪器的误差率应有合理统一的标准，仪器测量值与实际客观的科学指标之间存在误差，同类仪器之间亦存在不同的误差率。因此，应努力提高并统一仪器的误差率，使得测量结果更具科学性。</w:t>
      </w:r>
    </w:p>
    <w:p w:rsidR="00D4299F" w:rsidRPr="0049487D" w:rsidRDefault="00D4299F" w:rsidP="0049487D">
      <w:pPr>
        <w:spacing w:line="324" w:lineRule="auto"/>
        <w:ind w:firstLineChars="250" w:firstLine="700"/>
        <w:rPr>
          <w:rFonts w:ascii="宋体"/>
          <w:sz w:val="28"/>
          <w:szCs w:val="28"/>
        </w:rPr>
      </w:pPr>
      <w:r w:rsidRPr="0049487D">
        <w:rPr>
          <w:rFonts w:ascii="宋体" w:hAnsi="宋体" w:hint="eastAsia"/>
          <w:sz w:val="28"/>
          <w:szCs w:val="28"/>
        </w:rPr>
        <w:t>总体来说，鉴于</w:t>
      </w:r>
      <w:r w:rsidRPr="0049487D">
        <w:rPr>
          <w:rFonts w:ascii="宋体" w:hAnsi="宋体"/>
          <w:sz w:val="28"/>
          <w:szCs w:val="28"/>
        </w:rPr>
        <w:t>2014</w:t>
      </w:r>
      <w:r w:rsidRPr="0049487D">
        <w:rPr>
          <w:rFonts w:ascii="宋体" w:hAnsi="宋体" w:hint="eastAsia"/>
          <w:sz w:val="28"/>
          <w:szCs w:val="28"/>
        </w:rPr>
        <w:t>年的体质测试的实践经验，将</w:t>
      </w:r>
      <w:r w:rsidRPr="0049487D">
        <w:rPr>
          <w:rFonts w:hint="eastAsia"/>
          <w:sz w:val="28"/>
          <w:szCs w:val="28"/>
          <w:shd w:val="clear" w:color="auto" w:fill="FFFFFF"/>
        </w:rPr>
        <w:t>新修订的</w:t>
      </w:r>
      <w:r w:rsidRPr="0049487D">
        <w:rPr>
          <w:rFonts w:ascii="宋体" w:hAnsi="宋体" w:hint="eastAsia"/>
          <w:sz w:val="28"/>
          <w:szCs w:val="28"/>
        </w:rPr>
        <w:t>《标准》与体育教学相结合，加之</w:t>
      </w:r>
      <w:r>
        <w:rPr>
          <w:rFonts w:ascii="宋体" w:hAnsi="宋体" w:hint="eastAsia"/>
          <w:kern w:val="0"/>
          <w:sz w:val="28"/>
          <w:szCs w:val="28"/>
        </w:rPr>
        <w:t>体育部全体</w:t>
      </w:r>
      <w:r w:rsidRPr="0049487D">
        <w:rPr>
          <w:rFonts w:ascii="宋体" w:hAnsi="宋体" w:hint="eastAsia"/>
          <w:kern w:val="0"/>
          <w:sz w:val="28"/>
          <w:szCs w:val="28"/>
        </w:rPr>
        <w:t>教师的努力与</w:t>
      </w:r>
      <w:r>
        <w:rPr>
          <w:rFonts w:ascii="宋体" w:hAnsi="宋体" w:hint="eastAsia"/>
          <w:kern w:val="0"/>
          <w:sz w:val="28"/>
          <w:szCs w:val="28"/>
        </w:rPr>
        <w:t>各学院书记和学院辅导员</w:t>
      </w:r>
      <w:r w:rsidRPr="0049487D">
        <w:rPr>
          <w:rFonts w:ascii="宋体" w:hAnsi="宋体" w:hint="eastAsia"/>
          <w:kern w:val="0"/>
          <w:sz w:val="28"/>
          <w:szCs w:val="28"/>
        </w:rPr>
        <w:t>的积极配合，</w:t>
      </w:r>
      <w:r w:rsidRPr="0049487D">
        <w:rPr>
          <w:rFonts w:ascii="宋体" w:hAnsi="宋体"/>
          <w:sz w:val="28"/>
          <w:szCs w:val="28"/>
        </w:rPr>
        <w:t>2015</w:t>
      </w:r>
      <w:r w:rsidRPr="0049487D">
        <w:rPr>
          <w:rFonts w:ascii="宋体" w:hAnsi="宋体" w:hint="eastAsia"/>
          <w:sz w:val="28"/>
          <w:szCs w:val="28"/>
        </w:rPr>
        <w:t>年学生体质健康标准测试</w:t>
      </w:r>
      <w:r w:rsidRPr="0049487D">
        <w:rPr>
          <w:rFonts w:ascii="宋体" w:hAnsi="宋体" w:hint="eastAsia"/>
          <w:kern w:val="0"/>
          <w:sz w:val="28"/>
          <w:szCs w:val="28"/>
        </w:rPr>
        <w:t>工作开展的比较顺利，完成了预定目标，既增强了同学们积极开展体育运动的意识，同时也促进了大学生体质的健康发展，达到德智体全面发展，推动了我校阳光体育活动的深入开展</w:t>
      </w:r>
      <w:r w:rsidRPr="0049487D">
        <w:rPr>
          <w:rFonts w:ascii="宋体" w:hAnsi="宋体" w:hint="eastAsia"/>
          <w:sz w:val="28"/>
          <w:szCs w:val="28"/>
        </w:rPr>
        <w:t>。针对学生体质健康存在的主要问题，</w:t>
      </w:r>
      <w:r>
        <w:rPr>
          <w:rFonts w:ascii="宋体" w:hAnsi="宋体" w:hint="eastAsia"/>
          <w:sz w:val="28"/>
          <w:szCs w:val="28"/>
        </w:rPr>
        <w:t>要全校通力协助，使学生建立健身强体的理念，从而</w:t>
      </w:r>
      <w:r w:rsidRPr="0049487D">
        <w:rPr>
          <w:rFonts w:ascii="宋体" w:hAnsi="宋体" w:hint="eastAsia"/>
          <w:sz w:val="28"/>
          <w:szCs w:val="28"/>
        </w:rPr>
        <w:t>加大</w:t>
      </w:r>
      <w:r>
        <w:rPr>
          <w:rFonts w:ascii="宋体" w:hAnsi="宋体" w:hint="eastAsia"/>
          <w:sz w:val="28"/>
          <w:szCs w:val="28"/>
        </w:rPr>
        <w:t>学生</w:t>
      </w:r>
      <w:r w:rsidRPr="0049487D">
        <w:rPr>
          <w:rFonts w:ascii="宋体" w:hAnsi="宋体" w:hint="eastAsia"/>
          <w:sz w:val="28"/>
          <w:szCs w:val="28"/>
        </w:rPr>
        <w:t>身体素质的练习时间和数量的比重，逐步提高我校学生整体体质健康水平。</w:t>
      </w:r>
    </w:p>
    <w:sectPr w:rsidR="00D4299F" w:rsidRPr="0049487D" w:rsidSect="00972B86">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937" w:rsidRDefault="000E5937" w:rsidP="005376D4">
      <w:r>
        <w:separator/>
      </w:r>
    </w:p>
  </w:endnote>
  <w:endnote w:type="continuationSeparator" w:id="0">
    <w:p w:rsidR="000E5937" w:rsidRDefault="000E5937" w:rsidP="00537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99F" w:rsidRPr="00964165" w:rsidRDefault="00D4299F" w:rsidP="00964165">
    <w:pPr>
      <w:pStyle w:val="a6"/>
      <w:jc w:val="center"/>
      <w:rPr>
        <w:rFonts w:ascii="Times New Roman" w:hAnsi="Times New Roman"/>
        <w:sz w:val="21"/>
      </w:rPr>
    </w:pPr>
    <w:r w:rsidRPr="00964165">
      <w:rPr>
        <w:rFonts w:ascii="Times New Roman" w:hAnsi="Times New Roman"/>
        <w:sz w:val="21"/>
      </w:rPr>
      <w:fldChar w:fldCharType="begin"/>
    </w:r>
    <w:r w:rsidRPr="00964165">
      <w:rPr>
        <w:rFonts w:ascii="Times New Roman" w:hAnsi="Times New Roman"/>
        <w:sz w:val="21"/>
      </w:rPr>
      <w:instrText>PAGE   \* MERGEFORMAT</w:instrText>
    </w:r>
    <w:r w:rsidRPr="00964165">
      <w:rPr>
        <w:rFonts w:ascii="Times New Roman" w:hAnsi="Times New Roman"/>
        <w:sz w:val="21"/>
      </w:rPr>
      <w:fldChar w:fldCharType="separate"/>
    </w:r>
    <w:r w:rsidR="005B5D69" w:rsidRPr="005B5D69">
      <w:rPr>
        <w:rFonts w:ascii="Times New Roman" w:hAnsi="Times New Roman"/>
        <w:noProof/>
        <w:sz w:val="21"/>
        <w:lang w:val="zh-CN"/>
      </w:rPr>
      <w:t>3</w:t>
    </w:r>
    <w:r w:rsidRPr="00964165">
      <w:rPr>
        <w:rFonts w:ascii="Times New Roman" w:hAnsi="Times New Roman"/>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937" w:rsidRDefault="000E5937" w:rsidP="005376D4">
      <w:r>
        <w:separator/>
      </w:r>
    </w:p>
  </w:footnote>
  <w:footnote w:type="continuationSeparator" w:id="0">
    <w:p w:rsidR="000E5937" w:rsidRDefault="000E5937" w:rsidP="00537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1DB"/>
    <w:rsid w:val="00072789"/>
    <w:rsid w:val="00086E8A"/>
    <w:rsid w:val="00087D79"/>
    <w:rsid w:val="000A1DFB"/>
    <w:rsid w:val="000E5937"/>
    <w:rsid w:val="00141F1F"/>
    <w:rsid w:val="00180069"/>
    <w:rsid w:val="001C64D9"/>
    <w:rsid w:val="0021170C"/>
    <w:rsid w:val="002259A4"/>
    <w:rsid w:val="00243D70"/>
    <w:rsid w:val="002B0A92"/>
    <w:rsid w:val="002F28D8"/>
    <w:rsid w:val="003077B4"/>
    <w:rsid w:val="00330D63"/>
    <w:rsid w:val="0035342C"/>
    <w:rsid w:val="00374857"/>
    <w:rsid w:val="00390E95"/>
    <w:rsid w:val="00421691"/>
    <w:rsid w:val="00447B38"/>
    <w:rsid w:val="004622A6"/>
    <w:rsid w:val="004658EA"/>
    <w:rsid w:val="0047235B"/>
    <w:rsid w:val="0049487D"/>
    <w:rsid w:val="0049716E"/>
    <w:rsid w:val="004C1491"/>
    <w:rsid w:val="0050326A"/>
    <w:rsid w:val="00525B1D"/>
    <w:rsid w:val="005376D4"/>
    <w:rsid w:val="00591672"/>
    <w:rsid w:val="005B5D69"/>
    <w:rsid w:val="005C0601"/>
    <w:rsid w:val="005E5FFB"/>
    <w:rsid w:val="00614F5F"/>
    <w:rsid w:val="0064166A"/>
    <w:rsid w:val="00667E6E"/>
    <w:rsid w:val="006E4F6F"/>
    <w:rsid w:val="00710381"/>
    <w:rsid w:val="00737C94"/>
    <w:rsid w:val="00771FBA"/>
    <w:rsid w:val="00786A1E"/>
    <w:rsid w:val="007A7C8E"/>
    <w:rsid w:val="007F6E30"/>
    <w:rsid w:val="00837DDA"/>
    <w:rsid w:val="008441DB"/>
    <w:rsid w:val="008674FC"/>
    <w:rsid w:val="008765AF"/>
    <w:rsid w:val="00931A53"/>
    <w:rsid w:val="00964165"/>
    <w:rsid w:val="0096770B"/>
    <w:rsid w:val="00972B86"/>
    <w:rsid w:val="00A17AC8"/>
    <w:rsid w:val="00AF0149"/>
    <w:rsid w:val="00B15649"/>
    <w:rsid w:val="00B246B8"/>
    <w:rsid w:val="00B53715"/>
    <w:rsid w:val="00B85209"/>
    <w:rsid w:val="00B8654C"/>
    <w:rsid w:val="00B94E28"/>
    <w:rsid w:val="00BC4DC6"/>
    <w:rsid w:val="00BD64DF"/>
    <w:rsid w:val="00C53060"/>
    <w:rsid w:val="00C6664E"/>
    <w:rsid w:val="00C80859"/>
    <w:rsid w:val="00CD4BCE"/>
    <w:rsid w:val="00CD5426"/>
    <w:rsid w:val="00CF5C7F"/>
    <w:rsid w:val="00D25181"/>
    <w:rsid w:val="00D324E4"/>
    <w:rsid w:val="00D4299F"/>
    <w:rsid w:val="00D476B1"/>
    <w:rsid w:val="00D56C26"/>
    <w:rsid w:val="00D976E8"/>
    <w:rsid w:val="00DD693F"/>
    <w:rsid w:val="00DF5000"/>
    <w:rsid w:val="00E1702D"/>
    <w:rsid w:val="00EC707C"/>
    <w:rsid w:val="00F145F7"/>
    <w:rsid w:val="00F460F8"/>
    <w:rsid w:val="00F73193"/>
    <w:rsid w:val="00FE036A"/>
    <w:rsid w:val="00FE2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BD186D5-9835-44C1-AAF3-E7671B847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1D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F73193"/>
    <w:rPr>
      <w:sz w:val="18"/>
      <w:szCs w:val="18"/>
    </w:rPr>
  </w:style>
  <w:style w:type="character" w:customStyle="1" w:styleId="Char">
    <w:name w:val="批注框文本 Char"/>
    <w:link w:val="a3"/>
    <w:uiPriority w:val="99"/>
    <w:semiHidden/>
    <w:locked/>
    <w:rsid w:val="00F73193"/>
    <w:rPr>
      <w:rFonts w:ascii="Calibri" w:eastAsia="宋体" w:hAnsi="Calibri" w:cs="Times New Roman"/>
      <w:sz w:val="18"/>
      <w:szCs w:val="18"/>
    </w:rPr>
  </w:style>
  <w:style w:type="character" w:styleId="a4">
    <w:name w:val="Hyperlink"/>
    <w:uiPriority w:val="99"/>
    <w:rsid w:val="00CD4BCE"/>
    <w:rPr>
      <w:rFonts w:cs="Times New Roman"/>
      <w:color w:val="0000FF"/>
      <w:u w:val="single"/>
    </w:rPr>
  </w:style>
  <w:style w:type="paragraph" w:styleId="a5">
    <w:name w:val="header"/>
    <w:basedOn w:val="a"/>
    <w:link w:val="Char0"/>
    <w:uiPriority w:val="99"/>
    <w:rsid w:val="005376D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locked/>
    <w:rsid w:val="005376D4"/>
    <w:rPr>
      <w:rFonts w:ascii="Calibri" w:eastAsia="宋体" w:hAnsi="Calibri" w:cs="Times New Roman"/>
      <w:sz w:val="18"/>
      <w:szCs w:val="18"/>
    </w:rPr>
  </w:style>
  <w:style w:type="paragraph" w:styleId="a6">
    <w:name w:val="footer"/>
    <w:basedOn w:val="a"/>
    <w:link w:val="Char1"/>
    <w:uiPriority w:val="99"/>
    <w:rsid w:val="005376D4"/>
    <w:pPr>
      <w:tabs>
        <w:tab w:val="center" w:pos="4153"/>
        <w:tab w:val="right" w:pos="8306"/>
      </w:tabs>
      <w:snapToGrid w:val="0"/>
      <w:jc w:val="left"/>
    </w:pPr>
    <w:rPr>
      <w:sz w:val="18"/>
      <w:szCs w:val="18"/>
    </w:rPr>
  </w:style>
  <w:style w:type="character" w:customStyle="1" w:styleId="Char1">
    <w:name w:val="页脚 Char"/>
    <w:link w:val="a6"/>
    <w:uiPriority w:val="99"/>
    <w:locked/>
    <w:rsid w:val="005376D4"/>
    <w:rPr>
      <w:rFonts w:ascii="Calibri" w:eastAsia="宋体" w:hAnsi="Calibri" w:cs="Times New Roman"/>
      <w:sz w:val="18"/>
      <w:szCs w:val="18"/>
    </w:rPr>
  </w:style>
  <w:style w:type="character" w:styleId="a7">
    <w:name w:val="FollowedHyperlink"/>
    <w:uiPriority w:val="99"/>
    <w:semiHidden/>
    <w:rsid w:val="005376D4"/>
    <w:rPr>
      <w:rFonts w:cs="Times New Roman"/>
      <w:color w:val="800080"/>
      <w:u w:val="single"/>
    </w:rPr>
  </w:style>
  <w:style w:type="table" w:styleId="a8">
    <w:name w:val="Table Grid"/>
    <w:basedOn w:val="a1"/>
    <w:uiPriority w:val="99"/>
    <w:rsid w:val="00447B3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next w:val="a"/>
    <w:link w:val="Char2"/>
    <w:uiPriority w:val="99"/>
    <w:qFormat/>
    <w:rsid w:val="002259A4"/>
    <w:pPr>
      <w:spacing w:before="240" w:after="60"/>
      <w:jc w:val="center"/>
      <w:outlineLvl w:val="0"/>
    </w:pPr>
    <w:rPr>
      <w:rFonts w:ascii="Cambria" w:hAnsi="Cambria"/>
      <w:b/>
      <w:bCs/>
      <w:sz w:val="32"/>
      <w:szCs w:val="32"/>
    </w:rPr>
  </w:style>
  <w:style w:type="character" w:customStyle="1" w:styleId="Char2">
    <w:name w:val="标题 Char"/>
    <w:link w:val="a9"/>
    <w:uiPriority w:val="99"/>
    <w:locked/>
    <w:rsid w:val="002259A4"/>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oleObject" Target="embeddings/Microsoft_Excel___1.xls"/><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Microsoft_Excel___2.xls"/></Relationships>
</file>

<file path=word/theme/theme1.xml><?xml version="1.0" encoding="utf-8"?>
<a:theme xmlns:a="http://schemas.openxmlformats.org/drawingml/2006/main" name="Office Theme">
  <a:themeElements>
    <a:clrScheme name="Office">
      <a:dk1>
        <a:sysClr val="windowText" lastClr="000000"/>
      </a:dk1>
      <a:lt1>
        <a:sysClr val="window" lastClr="9EF3F3"/>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1</Pages>
  <Words>510</Words>
  <Characters>2907</Characters>
  <Application>Microsoft Office Word</Application>
  <DocSecurity>0</DocSecurity>
  <Lines>24</Lines>
  <Paragraphs>6</Paragraphs>
  <ScaleCrop>false</ScaleCrop>
  <Company>LG</Company>
  <LinksUpToDate>false</LinksUpToDate>
  <CharactersWithSpaces>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张汪嫒</dc:creator>
  <cp:keywords/>
  <dc:description/>
  <cp:lastModifiedBy>DADI</cp:lastModifiedBy>
  <cp:revision>25</cp:revision>
  <dcterms:created xsi:type="dcterms:W3CDTF">2015-12-31T12:25:00Z</dcterms:created>
  <dcterms:modified xsi:type="dcterms:W3CDTF">2016-10-31T01:03:00Z</dcterms:modified>
</cp:coreProperties>
</file>