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overflowPunct w:val="0"/>
        <w:spacing w:before="156" w:beforeLines="50" w:after="468" w:afterLines="150" w:line="240" w:lineRule="auto"/>
        <w:ind w:left="840" w:leftChars="400" w:right="840" w:rightChars="400"/>
        <w:jc w:val="center"/>
        <w:rPr>
          <w:rFonts w:hint="eastAsia" w:ascii="华文中宋" w:hAnsi="华文中宋" w:eastAsia="华文中宋" w:cs="华文中宋"/>
          <w:b w:val="0"/>
          <w:color w:val="000000"/>
          <w:sz w:val="36"/>
          <w:szCs w:val="36"/>
        </w:rPr>
      </w:pPr>
      <w:bookmarkStart w:id="0" w:name="_Toc523753197"/>
      <w:bookmarkStart w:id="1" w:name="_Toc17462394"/>
      <w:r>
        <w:rPr>
          <w:rFonts w:hint="eastAsia" w:ascii="华文中宋" w:hAnsi="华文中宋" w:eastAsia="华文中宋" w:cs="华文中宋"/>
          <w:b w:val="0"/>
          <w:color w:val="000000"/>
          <w:sz w:val="36"/>
          <w:szCs w:val="36"/>
        </w:rPr>
        <w:t>第十</w:t>
      </w:r>
      <w:r>
        <w:rPr>
          <w:rFonts w:hint="eastAsia" w:ascii="华文中宋" w:hAnsi="华文中宋" w:eastAsia="华文中宋" w:cs="华文中宋"/>
          <w:b w:val="0"/>
          <w:color w:val="000000"/>
          <w:sz w:val="36"/>
          <w:szCs w:val="36"/>
          <w:lang w:eastAsia="zh-CN"/>
        </w:rPr>
        <w:t>六</w:t>
      </w:r>
      <w:r>
        <w:rPr>
          <w:rFonts w:hint="eastAsia" w:ascii="华文中宋" w:hAnsi="华文中宋" w:eastAsia="华文中宋" w:cs="华文中宋"/>
          <w:b w:val="0"/>
          <w:color w:val="000000"/>
          <w:sz w:val="36"/>
          <w:szCs w:val="36"/>
        </w:rPr>
        <w:t>期新进教师教育教学能力开发研修班培训实施方案</w:t>
      </w:r>
      <w:bookmarkEnd w:id="0"/>
      <w:bookmarkEnd w:id="1"/>
    </w:p>
    <w:p>
      <w:pPr>
        <w:pStyle w:val="5"/>
        <w:numPr>
          <w:ilvl w:val="0"/>
          <w:numId w:val="1"/>
        </w:numPr>
        <w:tabs>
          <w:tab w:val="left" w:pos="420"/>
          <w:tab w:val="left" w:pos="540"/>
        </w:tabs>
        <w:overflowPunct w:val="0"/>
        <w:spacing w:before="156" w:beforeLines="50"/>
        <w:ind w:firstLineChars="0"/>
        <w:jc w:val="left"/>
        <w:rPr>
          <w:rFonts w:hint="eastAsia" w:ascii="仿宋" w:hAnsi="仿宋" w:eastAsia="仿宋" w:cs="仿宋"/>
          <w:color w:val="000000"/>
          <w:sz w:val="28"/>
          <w:szCs w:val="28"/>
        </w:rPr>
      </w:pPr>
      <w:r>
        <w:rPr>
          <w:rFonts w:hint="eastAsia" w:ascii="仿宋" w:hAnsi="仿宋" w:eastAsia="仿宋" w:cs="仿宋"/>
          <w:color w:val="000000"/>
          <w:sz w:val="28"/>
          <w:szCs w:val="28"/>
        </w:rPr>
        <w:t>指导思想</w:t>
      </w:r>
      <w:bookmarkStart w:id="2" w:name="_GoBack"/>
      <w:bookmarkEnd w:id="2"/>
    </w:p>
    <w:p>
      <w:pPr>
        <w:tabs>
          <w:tab w:val="left" w:pos="1008"/>
        </w:tabs>
        <w:overflowPunct w:val="0"/>
        <w:snapToGrid w:val="0"/>
        <w:spacing w:line="312" w:lineRule="auto"/>
        <w:ind w:firstLine="520" w:firstLineChars="200"/>
        <w:rPr>
          <w:rFonts w:hint="eastAsia" w:ascii="仿宋" w:hAnsi="仿宋" w:eastAsia="仿宋" w:cs="仿宋"/>
          <w:color w:val="000000"/>
          <w:sz w:val="26"/>
          <w:szCs w:val="26"/>
        </w:rPr>
      </w:pPr>
      <w:r>
        <w:rPr>
          <w:rFonts w:hint="eastAsia" w:ascii="仿宋" w:hAnsi="仿宋" w:eastAsia="仿宋" w:cs="仿宋"/>
          <w:color w:val="000000"/>
          <w:sz w:val="26"/>
          <w:szCs w:val="26"/>
        </w:rPr>
        <w:t>坚持社会主义的办学方向，深入贯彻党的教育方针，全面贯彻落实习近平新时代中国特色社会主义思想、党的十九大精神、全国教育大会、全国高校思想政治工作会议和《中共中央国务院关于全面深化新时代教师队伍建设改革的意见》、教育部《关于建立健全高校师德建设长效机制的意见》等文件精神，把立德树人作为中心环节，将思想政治工作贯穿教育教学全过程，加强师德师风建设，引导广大教师以德立人、以德立学、以德施教。通过系统全面的入职培训，帮助新教工能够尽快转变角色，掌握岗位所需的基本知识和技能，树立正确的“立德树人”理念，形成“爱校荣校、爱岗敬业”的职业精神，并着眼于新教工自身的终身职业生涯发展，努力成为先进思想文化的传播者、党执政的坚定支持者，更好担起学生健康成长指导者和引路人的责任，为高水平特色大学建设提供保障。</w:t>
      </w:r>
    </w:p>
    <w:p>
      <w:pPr>
        <w:pStyle w:val="5"/>
        <w:numPr>
          <w:ilvl w:val="0"/>
          <w:numId w:val="1"/>
        </w:numPr>
        <w:tabs>
          <w:tab w:val="left" w:pos="420"/>
          <w:tab w:val="left" w:pos="540"/>
        </w:tabs>
        <w:overflowPunct w:val="0"/>
        <w:spacing w:before="156" w:beforeLines="50"/>
        <w:ind w:firstLineChars="0"/>
        <w:jc w:val="left"/>
        <w:rPr>
          <w:rFonts w:hint="eastAsia" w:ascii="仿宋" w:hAnsi="仿宋" w:eastAsia="仿宋" w:cs="仿宋"/>
          <w:color w:val="000000"/>
          <w:sz w:val="28"/>
          <w:szCs w:val="28"/>
        </w:rPr>
      </w:pPr>
      <w:r>
        <w:rPr>
          <w:rFonts w:hint="eastAsia" w:ascii="仿宋" w:hAnsi="仿宋" w:eastAsia="仿宋" w:cs="仿宋"/>
          <w:color w:val="000000"/>
          <w:sz w:val="28"/>
          <w:szCs w:val="28"/>
        </w:rPr>
        <w:t>培训对象</w:t>
      </w:r>
    </w:p>
    <w:p>
      <w:pPr>
        <w:tabs>
          <w:tab w:val="left" w:pos="1008"/>
        </w:tabs>
        <w:overflowPunct w:val="0"/>
        <w:snapToGrid w:val="0"/>
        <w:spacing w:line="312" w:lineRule="auto"/>
        <w:ind w:firstLine="520" w:firstLineChars="200"/>
        <w:rPr>
          <w:rFonts w:hint="eastAsia" w:ascii="仿宋" w:hAnsi="仿宋" w:eastAsia="仿宋" w:cs="仿宋"/>
          <w:color w:val="000000"/>
          <w:sz w:val="26"/>
          <w:szCs w:val="26"/>
        </w:rPr>
      </w:pPr>
      <w:r>
        <w:rPr>
          <w:rFonts w:hint="eastAsia" w:ascii="仿宋" w:hAnsi="仿宋" w:eastAsia="仿宋" w:cs="仿宋"/>
          <w:color w:val="000000"/>
          <w:sz w:val="26"/>
          <w:szCs w:val="26"/>
        </w:rPr>
        <w:t>2018年9月-2019年8月新入职的教工，包括新进的在编和派遣人员（专任教师、行政管理人员、专职组织员/宣传员、专职辅导员、教辅人员）、师资博士后；尚未参加过本培训的教工。</w:t>
      </w:r>
    </w:p>
    <w:p>
      <w:pPr>
        <w:pStyle w:val="5"/>
        <w:numPr>
          <w:ilvl w:val="0"/>
          <w:numId w:val="1"/>
        </w:numPr>
        <w:tabs>
          <w:tab w:val="left" w:pos="420"/>
          <w:tab w:val="left" w:pos="540"/>
        </w:tabs>
        <w:overflowPunct w:val="0"/>
        <w:spacing w:before="156" w:beforeLines="50"/>
        <w:ind w:firstLineChars="0"/>
        <w:jc w:val="left"/>
        <w:rPr>
          <w:rFonts w:hint="eastAsia" w:ascii="仿宋" w:hAnsi="仿宋" w:eastAsia="仿宋" w:cs="仿宋"/>
          <w:color w:val="000000"/>
          <w:sz w:val="28"/>
          <w:szCs w:val="28"/>
        </w:rPr>
      </w:pPr>
      <w:r>
        <w:rPr>
          <w:rFonts w:hint="eastAsia" w:ascii="仿宋" w:hAnsi="仿宋" w:eastAsia="仿宋" w:cs="仿宋"/>
          <w:color w:val="000000"/>
          <w:sz w:val="28"/>
          <w:szCs w:val="28"/>
        </w:rPr>
        <w:t>培训目标</w:t>
      </w:r>
    </w:p>
    <w:p>
      <w:pPr>
        <w:pStyle w:val="5"/>
        <w:numPr>
          <w:ilvl w:val="0"/>
          <w:numId w:val="2"/>
        </w:numPr>
        <w:tabs>
          <w:tab w:val="left" w:pos="1008"/>
          <w:tab w:val="clear" w:pos="1021"/>
        </w:tabs>
        <w:overflowPunct w:val="0"/>
        <w:snapToGrid w:val="0"/>
        <w:spacing w:line="312" w:lineRule="auto"/>
        <w:ind w:firstLineChars="0"/>
        <w:rPr>
          <w:rFonts w:hint="eastAsia" w:ascii="仿宋" w:hAnsi="仿宋" w:eastAsia="仿宋" w:cs="仿宋"/>
          <w:color w:val="000000"/>
          <w:sz w:val="26"/>
          <w:szCs w:val="26"/>
        </w:rPr>
      </w:pPr>
      <w:r>
        <w:rPr>
          <w:rFonts w:hint="eastAsia" w:ascii="仿宋" w:hAnsi="仿宋" w:eastAsia="仿宋" w:cs="仿宋"/>
          <w:color w:val="000000"/>
          <w:sz w:val="26"/>
          <w:szCs w:val="26"/>
        </w:rPr>
        <w:t>贯彻落实习近平新时代中国特色社会主义思想、党的十九大精神和全国高校思想政治工作会议和系列文件精神；</w:t>
      </w:r>
    </w:p>
    <w:p>
      <w:pPr>
        <w:pStyle w:val="5"/>
        <w:numPr>
          <w:ilvl w:val="0"/>
          <w:numId w:val="2"/>
        </w:numPr>
        <w:tabs>
          <w:tab w:val="left" w:pos="1008"/>
          <w:tab w:val="clear" w:pos="1021"/>
        </w:tabs>
        <w:overflowPunct w:val="0"/>
        <w:snapToGrid w:val="0"/>
        <w:spacing w:line="312" w:lineRule="auto"/>
        <w:ind w:firstLineChars="0"/>
        <w:rPr>
          <w:rFonts w:hint="eastAsia" w:ascii="仿宋" w:hAnsi="仿宋" w:eastAsia="仿宋" w:cs="仿宋"/>
          <w:color w:val="000000"/>
          <w:sz w:val="26"/>
          <w:szCs w:val="26"/>
        </w:rPr>
      </w:pPr>
      <w:r>
        <w:rPr>
          <w:rFonts w:hint="eastAsia" w:ascii="仿宋" w:hAnsi="仿宋" w:eastAsia="仿宋" w:cs="仿宋"/>
          <w:color w:val="000000"/>
          <w:sz w:val="26"/>
          <w:szCs w:val="26"/>
        </w:rPr>
        <w:t>帮助新教工牢固树立“立德树人”理念，不断加强师德师风建设；</w:t>
      </w:r>
    </w:p>
    <w:p>
      <w:pPr>
        <w:pStyle w:val="5"/>
        <w:numPr>
          <w:ilvl w:val="0"/>
          <w:numId w:val="2"/>
        </w:numPr>
        <w:tabs>
          <w:tab w:val="left" w:pos="1008"/>
          <w:tab w:val="clear" w:pos="1021"/>
        </w:tabs>
        <w:overflowPunct w:val="0"/>
        <w:snapToGrid w:val="0"/>
        <w:spacing w:line="312" w:lineRule="auto"/>
        <w:ind w:firstLineChars="0"/>
        <w:rPr>
          <w:rFonts w:hint="eastAsia" w:ascii="仿宋" w:hAnsi="仿宋" w:eastAsia="仿宋" w:cs="仿宋"/>
          <w:color w:val="000000"/>
          <w:sz w:val="26"/>
          <w:szCs w:val="26"/>
        </w:rPr>
      </w:pPr>
      <w:r>
        <w:rPr>
          <w:rFonts w:hint="eastAsia" w:ascii="仿宋" w:hAnsi="仿宋" w:eastAsia="仿宋" w:cs="仿宋"/>
          <w:color w:val="000000"/>
          <w:sz w:val="26"/>
          <w:szCs w:val="26"/>
        </w:rPr>
        <w:t>帮助新教工掌握岗位所需的基本知识和技能；</w:t>
      </w:r>
    </w:p>
    <w:p>
      <w:pPr>
        <w:pStyle w:val="5"/>
        <w:numPr>
          <w:ilvl w:val="0"/>
          <w:numId w:val="2"/>
        </w:numPr>
        <w:tabs>
          <w:tab w:val="left" w:pos="1008"/>
          <w:tab w:val="clear" w:pos="1021"/>
        </w:tabs>
        <w:overflowPunct w:val="0"/>
        <w:snapToGrid w:val="0"/>
        <w:spacing w:line="312" w:lineRule="auto"/>
        <w:ind w:firstLineChars="0"/>
        <w:rPr>
          <w:rFonts w:hint="eastAsia" w:ascii="仿宋" w:hAnsi="仿宋" w:eastAsia="仿宋" w:cs="仿宋"/>
          <w:color w:val="000000"/>
          <w:sz w:val="26"/>
          <w:szCs w:val="26"/>
        </w:rPr>
      </w:pPr>
      <w:r>
        <w:rPr>
          <w:rFonts w:hint="eastAsia" w:ascii="仿宋" w:hAnsi="仿宋" w:eastAsia="仿宋" w:cs="仿宋"/>
          <w:color w:val="000000"/>
          <w:sz w:val="26"/>
          <w:szCs w:val="26"/>
        </w:rPr>
        <w:t>帮助新教工能更好地适应学校新环境、融入新组织；</w:t>
      </w:r>
    </w:p>
    <w:p>
      <w:pPr>
        <w:pStyle w:val="5"/>
        <w:numPr>
          <w:ilvl w:val="0"/>
          <w:numId w:val="2"/>
        </w:numPr>
        <w:tabs>
          <w:tab w:val="left" w:pos="1008"/>
          <w:tab w:val="clear" w:pos="1021"/>
        </w:tabs>
        <w:overflowPunct w:val="0"/>
        <w:snapToGrid w:val="0"/>
        <w:spacing w:line="312" w:lineRule="auto"/>
        <w:ind w:firstLineChars="0"/>
        <w:rPr>
          <w:rFonts w:hint="eastAsia" w:ascii="仿宋" w:hAnsi="仿宋" w:eastAsia="仿宋" w:cs="仿宋"/>
          <w:color w:val="000000"/>
          <w:sz w:val="26"/>
          <w:szCs w:val="26"/>
        </w:rPr>
      </w:pPr>
      <w:r>
        <w:rPr>
          <w:rFonts w:hint="eastAsia" w:ascii="仿宋" w:hAnsi="仿宋" w:eastAsia="仿宋" w:cs="仿宋"/>
          <w:color w:val="000000"/>
          <w:sz w:val="26"/>
          <w:szCs w:val="26"/>
        </w:rPr>
        <w:t>为新教工未来的职业生涯发展奠定基础；</w:t>
      </w:r>
    </w:p>
    <w:p>
      <w:pPr>
        <w:pStyle w:val="5"/>
        <w:numPr>
          <w:ilvl w:val="0"/>
          <w:numId w:val="2"/>
        </w:numPr>
        <w:tabs>
          <w:tab w:val="left" w:pos="1008"/>
          <w:tab w:val="clear" w:pos="1021"/>
        </w:tabs>
        <w:overflowPunct w:val="0"/>
        <w:snapToGrid w:val="0"/>
        <w:spacing w:line="312" w:lineRule="auto"/>
        <w:ind w:firstLineChars="0"/>
        <w:rPr>
          <w:rFonts w:hint="eastAsia" w:ascii="仿宋" w:hAnsi="仿宋" w:eastAsia="仿宋" w:cs="仿宋"/>
          <w:color w:val="000000"/>
          <w:sz w:val="26"/>
          <w:szCs w:val="26"/>
        </w:rPr>
      </w:pPr>
      <w:r>
        <w:rPr>
          <w:rFonts w:hint="eastAsia" w:ascii="仿宋" w:hAnsi="仿宋" w:eastAsia="仿宋" w:cs="仿宋"/>
          <w:color w:val="000000"/>
          <w:sz w:val="26"/>
          <w:szCs w:val="26"/>
        </w:rPr>
        <w:t>帮助新教工了解临港产业区政策，融入新环境。</w:t>
      </w:r>
    </w:p>
    <w:p>
      <w:pPr>
        <w:pStyle w:val="5"/>
        <w:numPr>
          <w:ilvl w:val="0"/>
          <w:numId w:val="1"/>
        </w:numPr>
        <w:tabs>
          <w:tab w:val="left" w:pos="420"/>
          <w:tab w:val="left" w:pos="540"/>
        </w:tabs>
        <w:overflowPunct w:val="0"/>
        <w:spacing w:before="156" w:beforeLines="50"/>
        <w:ind w:firstLineChars="0"/>
        <w:jc w:val="left"/>
        <w:rPr>
          <w:rFonts w:hint="eastAsia" w:ascii="仿宋" w:hAnsi="仿宋" w:eastAsia="仿宋" w:cs="仿宋"/>
          <w:color w:val="000000"/>
          <w:sz w:val="28"/>
          <w:szCs w:val="28"/>
        </w:rPr>
      </w:pPr>
      <w:r>
        <w:rPr>
          <w:rFonts w:hint="eastAsia" w:ascii="仿宋" w:hAnsi="仿宋" w:eastAsia="仿宋" w:cs="仿宋"/>
          <w:color w:val="000000"/>
          <w:sz w:val="28"/>
          <w:szCs w:val="28"/>
        </w:rPr>
        <w:t>设计原则</w:t>
      </w:r>
    </w:p>
    <w:p>
      <w:pPr>
        <w:pStyle w:val="5"/>
        <w:numPr>
          <w:ilvl w:val="0"/>
          <w:numId w:val="3"/>
        </w:numPr>
        <w:overflowPunct w:val="0"/>
        <w:ind w:firstLineChars="0"/>
        <w:jc w:val="left"/>
        <w:rPr>
          <w:rFonts w:hint="eastAsia" w:ascii="仿宋" w:hAnsi="仿宋" w:eastAsia="仿宋" w:cs="仿宋"/>
          <w:color w:val="000000"/>
          <w:sz w:val="26"/>
          <w:szCs w:val="26"/>
        </w:rPr>
      </w:pPr>
      <w:r>
        <w:rPr>
          <w:rFonts w:hint="eastAsia" w:ascii="仿宋" w:hAnsi="仿宋" w:eastAsia="仿宋" w:cs="仿宋"/>
          <w:color w:val="000000"/>
          <w:sz w:val="26"/>
          <w:szCs w:val="26"/>
        </w:rPr>
        <w:t>按市校院分级培训</w:t>
      </w:r>
    </w:p>
    <w:p>
      <w:pPr>
        <w:tabs>
          <w:tab w:val="left" w:pos="1008"/>
        </w:tabs>
        <w:overflowPunct w:val="0"/>
        <w:snapToGrid w:val="0"/>
        <w:spacing w:line="312" w:lineRule="auto"/>
        <w:ind w:firstLine="520" w:firstLineChars="200"/>
        <w:rPr>
          <w:rFonts w:hint="eastAsia" w:ascii="仿宋" w:hAnsi="仿宋" w:eastAsia="仿宋" w:cs="仿宋"/>
          <w:color w:val="000000"/>
          <w:sz w:val="26"/>
          <w:szCs w:val="26"/>
        </w:rPr>
      </w:pPr>
      <w:r>
        <w:rPr>
          <w:rFonts w:hint="eastAsia" w:ascii="仿宋" w:hAnsi="仿宋" w:eastAsia="仿宋" w:cs="仿宋"/>
          <w:color w:val="000000"/>
          <w:sz w:val="26"/>
          <w:szCs w:val="26"/>
        </w:rPr>
        <w:t>积极对接上海市教委组织的《上海市2019年高校新教师岗前培训项目》以及《上海高校新任辅导员培训项目》，有效发挥运行多年的学院教师教育教学能力培训中心作用，深度开发学校层面校本培训内容，互为补充，形成市校院三级培训体系。</w:t>
      </w:r>
    </w:p>
    <w:p>
      <w:pPr>
        <w:pStyle w:val="5"/>
        <w:numPr>
          <w:ilvl w:val="0"/>
          <w:numId w:val="3"/>
        </w:numPr>
        <w:overflowPunct w:val="0"/>
        <w:ind w:firstLineChars="0"/>
        <w:jc w:val="left"/>
        <w:rPr>
          <w:rFonts w:hint="eastAsia" w:ascii="仿宋" w:hAnsi="仿宋" w:eastAsia="仿宋" w:cs="仿宋"/>
          <w:color w:val="000000"/>
          <w:sz w:val="26"/>
          <w:szCs w:val="26"/>
        </w:rPr>
      </w:pPr>
      <w:r>
        <w:rPr>
          <w:rFonts w:hint="eastAsia" w:ascii="仿宋" w:hAnsi="仿宋" w:eastAsia="仿宋" w:cs="仿宋"/>
          <w:color w:val="000000"/>
          <w:sz w:val="26"/>
          <w:szCs w:val="26"/>
        </w:rPr>
        <w:t>按岗位分类培训</w:t>
      </w:r>
    </w:p>
    <w:p>
      <w:pPr>
        <w:tabs>
          <w:tab w:val="left" w:pos="1008"/>
        </w:tabs>
        <w:overflowPunct w:val="0"/>
        <w:snapToGrid w:val="0"/>
        <w:spacing w:line="312" w:lineRule="auto"/>
        <w:ind w:firstLine="520" w:firstLineChars="200"/>
        <w:rPr>
          <w:rFonts w:hint="eastAsia" w:ascii="仿宋" w:hAnsi="仿宋" w:eastAsia="仿宋" w:cs="仿宋"/>
          <w:color w:val="000000"/>
          <w:sz w:val="26"/>
          <w:szCs w:val="26"/>
        </w:rPr>
      </w:pPr>
      <w:r>
        <w:rPr>
          <w:rFonts w:hint="eastAsia" w:ascii="仿宋" w:hAnsi="仿宋" w:eastAsia="仿宋" w:cs="仿宋"/>
          <w:color w:val="000000"/>
          <w:sz w:val="26"/>
          <w:szCs w:val="26"/>
        </w:rPr>
        <w:t>根据专任教师、行政管理人员、专职组织员、宣传员、专职辅导员、教辅人员、师资博士后等六类不同岗位，基于岗位任务与胜任要求，有针对性地安排不同培训内容，帮助新教工更好掌握岗位所需的基本知识和技能，形成对岗位的适应与发展能力。</w:t>
      </w:r>
    </w:p>
    <w:p>
      <w:pPr>
        <w:pStyle w:val="5"/>
        <w:numPr>
          <w:ilvl w:val="0"/>
          <w:numId w:val="3"/>
        </w:numPr>
        <w:overflowPunct w:val="0"/>
        <w:ind w:firstLineChars="0"/>
        <w:jc w:val="left"/>
        <w:rPr>
          <w:rFonts w:hint="eastAsia" w:ascii="仿宋" w:hAnsi="仿宋" w:eastAsia="仿宋" w:cs="仿宋"/>
          <w:color w:val="000000"/>
          <w:sz w:val="26"/>
          <w:szCs w:val="26"/>
        </w:rPr>
      </w:pPr>
      <w:r>
        <w:rPr>
          <w:rFonts w:hint="eastAsia" w:ascii="仿宋" w:hAnsi="仿宋" w:eastAsia="仿宋" w:cs="仿宋"/>
          <w:color w:val="000000"/>
          <w:sz w:val="26"/>
          <w:szCs w:val="26"/>
        </w:rPr>
        <w:t>按模块设计培训内容</w:t>
      </w:r>
    </w:p>
    <w:p>
      <w:pPr>
        <w:tabs>
          <w:tab w:val="left" w:pos="1008"/>
        </w:tabs>
        <w:overflowPunct w:val="0"/>
        <w:snapToGrid w:val="0"/>
        <w:spacing w:line="312" w:lineRule="auto"/>
        <w:ind w:firstLine="520" w:firstLineChars="200"/>
        <w:rPr>
          <w:rFonts w:hint="eastAsia" w:ascii="仿宋" w:hAnsi="仿宋" w:eastAsia="仿宋" w:cs="仿宋"/>
          <w:color w:val="000000"/>
          <w:sz w:val="26"/>
          <w:szCs w:val="26"/>
        </w:rPr>
      </w:pPr>
      <w:r>
        <w:rPr>
          <w:rFonts w:hint="eastAsia" w:ascii="仿宋" w:hAnsi="仿宋" w:eastAsia="仿宋" w:cs="仿宋"/>
          <w:color w:val="000000"/>
          <w:sz w:val="26"/>
          <w:szCs w:val="26"/>
        </w:rPr>
        <w:t>根据分级分类培训原则，校级培训设校本通识课程、分类业务课程等两大模块。其中校本通识课程设七个小模块：思政专题、校史校情、校纪校规、发展服务、入职宣誓、签订师德师风承诺书。专任教师的分类业务课程市级培训有四个模块：教育观与高等教育观、教师专业品质与知识、教育教学与科研能力、心智修炼与教师发展等；二级单位以院史院情、实践交流模块为主。思政系列、行政管理人员、实验技术及其他专业技术人员的分类业务课程分别由各系列负责部门制定课程设置和设计培训内容。</w:t>
      </w:r>
    </w:p>
    <w:p>
      <w:pPr>
        <w:pStyle w:val="5"/>
        <w:numPr>
          <w:ilvl w:val="0"/>
          <w:numId w:val="1"/>
        </w:numPr>
        <w:tabs>
          <w:tab w:val="left" w:pos="420"/>
          <w:tab w:val="left" w:pos="540"/>
        </w:tabs>
        <w:overflowPunct w:val="0"/>
        <w:spacing w:before="156" w:beforeLines="50"/>
        <w:ind w:firstLineChars="0"/>
        <w:jc w:val="left"/>
        <w:rPr>
          <w:rFonts w:hint="eastAsia" w:ascii="仿宋" w:hAnsi="仿宋" w:eastAsia="仿宋" w:cs="仿宋"/>
          <w:color w:val="000000"/>
          <w:sz w:val="28"/>
          <w:szCs w:val="28"/>
        </w:rPr>
      </w:pPr>
      <w:r>
        <w:rPr>
          <w:rFonts w:hint="eastAsia" w:ascii="仿宋" w:hAnsi="仿宋" w:eastAsia="仿宋" w:cs="仿宋"/>
          <w:color w:val="000000"/>
          <w:sz w:val="28"/>
          <w:szCs w:val="28"/>
        </w:rPr>
        <w:t>组织模式</w:t>
      </w:r>
    </w:p>
    <w:p>
      <w:pPr>
        <w:tabs>
          <w:tab w:val="left" w:pos="1008"/>
        </w:tabs>
        <w:overflowPunct w:val="0"/>
        <w:snapToGrid w:val="0"/>
        <w:spacing w:line="312" w:lineRule="auto"/>
        <w:ind w:firstLine="520" w:firstLineChars="200"/>
        <w:rPr>
          <w:rFonts w:hint="eastAsia" w:ascii="仿宋" w:hAnsi="仿宋" w:eastAsia="仿宋" w:cs="仿宋"/>
          <w:color w:val="000000"/>
          <w:sz w:val="26"/>
          <w:szCs w:val="26"/>
        </w:rPr>
      </w:pPr>
      <w:r>
        <w:rPr>
          <w:rFonts w:hint="eastAsia" w:ascii="仿宋" w:hAnsi="仿宋" w:eastAsia="仿宋" w:cs="仿宋"/>
          <w:color w:val="000000"/>
          <w:sz w:val="26"/>
          <w:szCs w:val="26"/>
        </w:rPr>
        <w:t>组织方式：根据分级分类、模块培训的总原则，人事处牵头负责校本通识课程培训。各学院（二级单位）分类业务课程培训由各学院（二级单位）负责相关模块内容的培训。</w:t>
      </w:r>
    </w:p>
    <w:p>
      <w:pPr>
        <w:tabs>
          <w:tab w:val="left" w:pos="1008"/>
        </w:tabs>
        <w:overflowPunct w:val="0"/>
        <w:snapToGrid w:val="0"/>
        <w:spacing w:line="312" w:lineRule="auto"/>
        <w:ind w:firstLine="520" w:firstLineChars="200"/>
        <w:rPr>
          <w:rFonts w:hint="eastAsia" w:ascii="仿宋" w:hAnsi="仿宋" w:eastAsia="仿宋" w:cs="仿宋"/>
          <w:color w:val="000000"/>
          <w:sz w:val="26"/>
          <w:szCs w:val="26"/>
        </w:rPr>
      </w:pPr>
      <w:r>
        <w:rPr>
          <w:rFonts w:hint="eastAsia" w:ascii="仿宋" w:hAnsi="仿宋" w:eastAsia="仿宋" w:cs="仿宋"/>
          <w:color w:val="000000"/>
          <w:sz w:val="26"/>
          <w:szCs w:val="26"/>
        </w:rPr>
        <w:t>培训方式：采用集中培训、分散培训与个人自学相结合的方式。</w:t>
      </w:r>
    </w:p>
    <w:p>
      <w:pPr>
        <w:tabs>
          <w:tab w:val="left" w:pos="1008"/>
        </w:tabs>
        <w:overflowPunct w:val="0"/>
        <w:snapToGrid w:val="0"/>
        <w:spacing w:line="312" w:lineRule="auto"/>
        <w:ind w:firstLine="520" w:firstLineChars="200"/>
        <w:rPr>
          <w:rFonts w:hint="eastAsia" w:ascii="仿宋" w:hAnsi="仿宋" w:eastAsia="仿宋" w:cs="仿宋"/>
          <w:color w:val="000000"/>
          <w:sz w:val="26"/>
          <w:szCs w:val="26"/>
        </w:rPr>
      </w:pPr>
      <w:r>
        <w:rPr>
          <w:rFonts w:hint="eastAsia" w:ascii="仿宋" w:hAnsi="仿宋" w:eastAsia="仿宋" w:cs="仿宋"/>
          <w:color w:val="000000"/>
          <w:sz w:val="26"/>
          <w:szCs w:val="26"/>
        </w:rPr>
        <w:t>班次命名方式：延续上期班次命名方式，同时结合分级分类培训总安排，2019年班次命名为上海海洋大学第十六期新进教师教育教学能力开发研修班（Faculty Development，简称FD）。</w:t>
      </w:r>
    </w:p>
    <w:p>
      <w:pPr>
        <w:pStyle w:val="5"/>
        <w:numPr>
          <w:ilvl w:val="0"/>
          <w:numId w:val="1"/>
        </w:numPr>
        <w:tabs>
          <w:tab w:val="left" w:pos="420"/>
          <w:tab w:val="left" w:pos="540"/>
        </w:tabs>
        <w:overflowPunct w:val="0"/>
        <w:spacing w:before="156" w:beforeLines="50"/>
        <w:ind w:firstLineChars="0"/>
        <w:jc w:val="left"/>
        <w:rPr>
          <w:rFonts w:hint="eastAsia" w:ascii="仿宋" w:hAnsi="仿宋" w:eastAsia="仿宋" w:cs="仿宋"/>
          <w:color w:val="000000"/>
          <w:sz w:val="28"/>
          <w:szCs w:val="28"/>
        </w:rPr>
      </w:pPr>
      <w:r>
        <w:rPr>
          <w:rFonts w:hint="eastAsia" w:ascii="仿宋" w:hAnsi="仿宋" w:eastAsia="仿宋" w:cs="仿宋"/>
          <w:color w:val="000000"/>
          <w:sz w:val="28"/>
          <w:szCs w:val="28"/>
        </w:rPr>
        <w:t>培训内容体系</w:t>
      </w:r>
    </w:p>
    <w:p>
      <w:pPr>
        <w:pStyle w:val="5"/>
        <w:numPr>
          <w:ilvl w:val="0"/>
          <w:numId w:val="4"/>
        </w:numPr>
        <w:overflowPunct w:val="0"/>
        <w:ind w:firstLineChars="0"/>
        <w:jc w:val="left"/>
        <w:rPr>
          <w:rFonts w:hint="eastAsia" w:ascii="仿宋" w:hAnsi="仿宋" w:eastAsia="仿宋" w:cs="仿宋"/>
          <w:color w:val="000000"/>
          <w:sz w:val="26"/>
          <w:szCs w:val="26"/>
        </w:rPr>
      </w:pPr>
      <w:r>
        <w:rPr>
          <w:rFonts w:hint="eastAsia" w:ascii="仿宋" w:hAnsi="仿宋" w:eastAsia="仿宋" w:cs="仿宋"/>
          <w:color w:val="000000"/>
          <w:sz w:val="26"/>
          <w:szCs w:val="26"/>
        </w:rPr>
        <w:t>校本通识课程</w:t>
      </w:r>
    </w:p>
    <w:p>
      <w:pPr>
        <w:pStyle w:val="5"/>
        <w:numPr>
          <w:ilvl w:val="0"/>
          <w:numId w:val="5"/>
        </w:numPr>
        <w:tabs>
          <w:tab w:val="left" w:pos="1008"/>
          <w:tab w:val="clear" w:pos="1021"/>
        </w:tabs>
        <w:overflowPunct w:val="0"/>
        <w:snapToGrid w:val="0"/>
        <w:spacing w:line="312" w:lineRule="auto"/>
        <w:ind w:firstLineChars="0"/>
        <w:rPr>
          <w:rFonts w:hint="eastAsia" w:ascii="仿宋" w:hAnsi="仿宋" w:eastAsia="仿宋" w:cs="仿宋"/>
          <w:color w:val="000000"/>
          <w:sz w:val="26"/>
          <w:szCs w:val="26"/>
        </w:rPr>
      </w:pPr>
      <w:r>
        <w:rPr>
          <w:rFonts w:hint="eastAsia" w:ascii="仿宋" w:hAnsi="仿宋" w:eastAsia="仿宋" w:cs="仿宋"/>
          <w:color w:val="000000"/>
          <w:sz w:val="26"/>
          <w:szCs w:val="26"/>
        </w:rPr>
        <w:t>思政专题</w:t>
      </w:r>
    </w:p>
    <w:p>
      <w:pPr>
        <w:tabs>
          <w:tab w:val="left" w:pos="1008"/>
        </w:tabs>
        <w:overflowPunct w:val="0"/>
        <w:snapToGrid w:val="0"/>
        <w:spacing w:line="312" w:lineRule="auto"/>
        <w:ind w:firstLine="520" w:firstLineChars="200"/>
        <w:rPr>
          <w:rFonts w:hint="eastAsia" w:ascii="仿宋" w:hAnsi="仿宋" w:eastAsia="仿宋" w:cs="仿宋"/>
          <w:color w:val="000000"/>
          <w:sz w:val="26"/>
          <w:szCs w:val="26"/>
        </w:rPr>
      </w:pPr>
      <w:r>
        <w:rPr>
          <w:rFonts w:hint="eastAsia" w:ascii="仿宋" w:hAnsi="仿宋" w:eastAsia="仿宋" w:cs="仿宋"/>
          <w:color w:val="000000"/>
          <w:sz w:val="26"/>
          <w:szCs w:val="26"/>
        </w:rPr>
        <w:t>贯彻落实习近平新时代中国特色社会主义思想、党的十九大精神和全国高校思想政治工作会议和系列文件精神，把立德树人作为中心环节，将思想政治工作贯穿教育教学全过程，加强师德师风建设，引导广大教师坚持教书和育人相统一、坚持言传和身教相统一、坚持潜心问道和关注社会相统一、坚持学术自由和学术规范相统一，以德立身、以德立学、以德施教，努力成为先进思想文化的传播者、党执政的坚定支持者，更好担起学生健康成长指导者和引路人的责任。</w:t>
      </w:r>
    </w:p>
    <w:p>
      <w:pPr>
        <w:pStyle w:val="5"/>
        <w:numPr>
          <w:ilvl w:val="0"/>
          <w:numId w:val="5"/>
        </w:numPr>
        <w:tabs>
          <w:tab w:val="left" w:pos="1008"/>
          <w:tab w:val="clear" w:pos="1021"/>
        </w:tabs>
        <w:overflowPunct w:val="0"/>
        <w:snapToGrid w:val="0"/>
        <w:spacing w:line="312" w:lineRule="auto"/>
        <w:ind w:firstLineChars="0"/>
        <w:rPr>
          <w:rFonts w:hint="eastAsia" w:ascii="仿宋" w:hAnsi="仿宋" w:eastAsia="仿宋" w:cs="仿宋"/>
          <w:color w:val="000000"/>
          <w:sz w:val="26"/>
          <w:szCs w:val="26"/>
        </w:rPr>
      </w:pPr>
      <w:r>
        <w:rPr>
          <w:rFonts w:hint="eastAsia" w:ascii="仿宋" w:hAnsi="仿宋" w:eastAsia="仿宋" w:cs="仿宋"/>
          <w:color w:val="000000"/>
          <w:sz w:val="26"/>
          <w:szCs w:val="26"/>
        </w:rPr>
        <w:t>校史校情</w:t>
      </w:r>
    </w:p>
    <w:p>
      <w:pPr>
        <w:tabs>
          <w:tab w:val="left" w:pos="1008"/>
        </w:tabs>
        <w:overflowPunct w:val="0"/>
        <w:snapToGrid w:val="0"/>
        <w:spacing w:line="312" w:lineRule="auto"/>
        <w:ind w:firstLine="520" w:firstLineChars="200"/>
        <w:rPr>
          <w:rFonts w:hint="eastAsia" w:ascii="仿宋" w:hAnsi="仿宋" w:eastAsia="仿宋" w:cs="仿宋"/>
          <w:color w:val="000000"/>
          <w:sz w:val="26"/>
          <w:szCs w:val="26"/>
        </w:rPr>
      </w:pPr>
      <w:r>
        <w:rPr>
          <w:rFonts w:hint="eastAsia" w:ascii="仿宋" w:hAnsi="仿宋" w:eastAsia="仿宋" w:cs="仿宋"/>
          <w:color w:val="000000"/>
          <w:sz w:val="26"/>
          <w:szCs w:val="26"/>
        </w:rPr>
        <w:t>通过讲授学校发展现状与“十三五”规划展望，并结合学科特色实验室的现场参观以及海洋主题课程的讲解，深化对学校办学定位与人才培养目标的理解，强化“把学校建设成为海洋、水产、食品三大主干学科优势明显，理、工、农、经、文、管、法等多学科协调发展，对生物资源、地球环境、人类社会具有高度诠释能力，多科性应用研究型、在国际上有影响力的高水平特色大学”的使命感与责任感。</w:t>
      </w:r>
    </w:p>
    <w:p>
      <w:pPr>
        <w:pStyle w:val="5"/>
        <w:numPr>
          <w:ilvl w:val="0"/>
          <w:numId w:val="5"/>
        </w:numPr>
        <w:tabs>
          <w:tab w:val="left" w:pos="1008"/>
          <w:tab w:val="clear" w:pos="1021"/>
        </w:tabs>
        <w:overflowPunct w:val="0"/>
        <w:snapToGrid w:val="0"/>
        <w:spacing w:line="312" w:lineRule="auto"/>
        <w:ind w:firstLineChars="0"/>
        <w:rPr>
          <w:rFonts w:hint="eastAsia" w:ascii="仿宋" w:hAnsi="仿宋" w:eastAsia="仿宋" w:cs="仿宋"/>
          <w:color w:val="000000"/>
          <w:sz w:val="26"/>
          <w:szCs w:val="26"/>
        </w:rPr>
      </w:pPr>
      <w:r>
        <w:rPr>
          <w:rFonts w:hint="eastAsia" w:ascii="仿宋" w:hAnsi="仿宋" w:eastAsia="仿宋" w:cs="仿宋"/>
          <w:color w:val="000000"/>
          <w:sz w:val="26"/>
          <w:szCs w:val="26"/>
        </w:rPr>
        <w:t>校纪校规</w:t>
      </w:r>
    </w:p>
    <w:p>
      <w:pPr>
        <w:tabs>
          <w:tab w:val="left" w:pos="1008"/>
        </w:tabs>
        <w:overflowPunct w:val="0"/>
        <w:snapToGrid w:val="0"/>
        <w:spacing w:line="312" w:lineRule="auto"/>
        <w:ind w:firstLine="520" w:firstLineChars="200"/>
        <w:rPr>
          <w:rFonts w:hint="eastAsia" w:ascii="仿宋" w:hAnsi="仿宋" w:eastAsia="仿宋" w:cs="仿宋"/>
          <w:color w:val="000000"/>
          <w:sz w:val="26"/>
          <w:szCs w:val="26"/>
        </w:rPr>
      </w:pPr>
      <w:r>
        <w:rPr>
          <w:rFonts w:hint="eastAsia" w:ascii="仿宋" w:hAnsi="仿宋" w:eastAsia="仿宋" w:cs="仿宋"/>
          <w:color w:val="000000"/>
          <w:sz w:val="26"/>
          <w:szCs w:val="26"/>
        </w:rPr>
        <w:t>通过教师行为规范、外事管理制度、财务管理制度、廉洁纪律等专题课程，强化“守纪律、讲规矩”意识，使新教师更好适应环境，融入组织，发展自我。</w:t>
      </w:r>
    </w:p>
    <w:p>
      <w:pPr>
        <w:pStyle w:val="5"/>
        <w:numPr>
          <w:ilvl w:val="0"/>
          <w:numId w:val="5"/>
        </w:numPr>
        <w:tabs>
          <w:tab w:val="left" w:pos="1008"/>
          <w:tab w:val="clear" w:pos="1021"/>
        </w:tabs>
        <w:overflowPunct w:val="0"/>
        <w:snapToGrid w:val="0"/>
        <w:spacing w:line="312" w:lineRule="auto"/>
        <w:ind w:firstLineChars="0"/>
        <w:rPr>
          <w:rFonts w:hint="eastAsia" w:ascii="仿宋" w:hAnsi="仿宋" w:eastAsia="仿宋" w:cs="仿宋"/>
          <w:color w:val="000000"/>
          <w:sz w:val="26"/>
          <w:szCs w:val="26"/>
        </w:rPr>
      </w:pPr>
      <w:r>
        <w:rPr>
          <w:rFonts w:hint="eastAsia" w:ascii="仿宋" w:hAnsi="仿宋" w:eastAsia="仿宋" w:cs="仿宋"/>
          <w:color w:val="000000"/>
          <w:sz w:val="26"/>
          <w:szCs w:val="26"/>
        </w:rPr>
        <w:t>发展服务</w:t>
      </w:r>
    </w:p>
    <w:p>
      <w:pPr>
        <w:tabs>
          <w:tab w:val="left" w:pos="1008"/>
        </w:tabs>
        <w:overflowPunct w:val="0"/>
        <w:snapToGrid w:val="0"/>
        <w:spacing w:line="312" w:lineRule="auto"/>
        <w:ind w:firstLine="520" w:firstLineChars="200"/>
        <w:rPr>
          <w:rFonts w:hint="eastAsia" w:ascii="仿宋" w:hAnsi="仿宋" w:eastAsia="仿宋" w:cs="仿宋"/>
          <w:color w:val="000000"/>
          <w:sz w:val="26"/>
          <w:szCs w:val="26"/>
        </w:rPr>
      </w:pPr>
      <w:r>
        <w:rPr>
          <w:rFonts w:hint="eastAsia" w:ascii="仿宋" w:hAnsi="仿宋" w:eastAsia="仿宋" w:cs="仿宋"/>
          <w:color w:val="000000"/>
          <w:sz w:val="26"/>
          <w:szCs w:val="26"/>
        </w:rPr>
        <w:t>通过对人才计划申报、教学与科研能力提升、心智修炼等专题课程，使新进教工了解专业化发展途径，知晓资源和信息渠道，引导新教工建立积极的职业心态，合理开展职业生涯设计与规划，确立正确的职业理想。</w:t>
      </w:r>
    </w:p>
    <w:p>
      <w:pPr>
        <w:pStyle w:val="5"/>
        <w:numPr>
          <w:ilvl w:val="0"/>
          <w:numId w:val="5"/>
        </w:numPr>
        <w:tabs>
          <w:tab w:val="left" w:pos="1008"/>
          <w:tab w:val="clear" w:pos="1021"/>
        </w:tabs>
        <w:overflowPunct w:val="0"/>
        <w:snapToGrid w:val="0"/>
        <w:spacing w:line="312" w:lineRule="auto"/>
        <w:ind w:firstLineChars="0"/>
        <w:rPr>
          <w:rFonts w:hint="eastAsia" w:ascii="仿宋" w:hAnsi="仿宋" w:eastAsia="仿宋" w:cs="仿宋"/>
          <w:color w:val="000000"/>
          <w:sz w:val="26"/>
          <w:szCs w:val="26"/>
        </w:rPr>
      </w:pPr>
      <w:r>
        <w:rPr>
          <w:rFonts w:hint="eastAsia" w:ascii="仿宋" w:hAnsi="仿宋" w:eastAsia="仿宋" w:cs="仿宋"/>
          <w:color w:val="000000"/>
          <w:sz w:val="26"/>
          <w:szCs w:val="26"/>
        </w:rPr>
        <w:t>现场教学</w:t>
      </w:r>
    </w:p>
    <w:p>
      <w:pPr>
        <w:tabs>
          <w:tab w:val="left" w:pos="1008"/>
        </w:tabs>
        <w:overflowPunct w:val="0"/>
        <w:snapToGrid w:val="0"/>
        <w:spacing w:line="312" w:lineRule="auto"/>
        <w:ind w:firstLine="520" w:firstLineChars="200"/>
        <w:rPr>
          <w:rFonts w:hint="eastAsia" w:ascii="仿宋" w:hAnsi="仿宋" w:eastAsia="仿宋" w:cs="仿宋"/>
          <w:color w:val="000000"/>
          <w:sz w:val="26"/>
          <w:szCs w:val="26"/>
        </w:rPr>
      </w:pPr>
      <w:r>
        <w:rPr>
          <w:rFonts w:hint="eastAsia" w:ascii="仿宋" w:hAnsi="仿宋" w:eastAsia="仿宋" w:cs="仿宋"/>
          <w:color w:val="000000"/>
          <w:sz w:val="26"/>
          <w:szCs w:val="26"/>
        </w:rPr>
        <w:t>本次研究班现场教学采取校内和校外相结合的形式，对新进教师进行校情校史教育。通过“七道门历史长廊、校史馆、三史馆”等的现场教学，讲授学校发展历史与传统，深化校史学科史专业史发展脉络的了解，强化对“勤朴忠实”校训精神的认知和认同；通过参观临港高新园区、学院特色实验室，了解我校的学科特色，强化对我校学科和实验平台建设的认识。开展“不忘初心、牢记使命”校情校史教育活动，践行学校创始人张謇先生办学思想，赴南通张謇博物苑、张謇纪念馆开展学习教育实践活动。</w:t>
      </w:r>
    </w:p>
    <w:p>
      <w:pPr>
        <w:pStyle w:val="5"/>
        <w:numPr>
          <w:ilvl w:val="0"/>
          <w:numId w:val="5"/>
        </w:numPr>
        <w:tabs>
          <w:tab w:val="left" w:pos="1008"/>
          <w:tab w:val="clear" w:pos="1021"/>
        </w:tabs>
        <w:overflowPunct w:val="0"/>
        <w:snapToGrid w:val="0"/>
        <w:spacing w:line="312" w:lineRule="auto"/>
        <w:ind w:firstLineChars="0"/>
        <w:rPr>
          <w:rFonts w:hint="eastAsia" w:ascii="仿宋" w:hAnsi="仿宋" w:eastAsia="仿宋" w:cs="仿宋"/>
          <w:color w:val="000000"/>
          <w:sz w:val="26"/>
          <w:szCs w:val="26"/>
        </w:rPr>
      </w:pPr>
      <w:r>
        <w:rPr>
          <w:rFonts w:hint="eastAsia" w:ascii="仿宋" w:hAnsi="仿宋" w:eastAsia="仿宋" w:cs="仿宋"/>
          <w:color w:val="000000"/>
          <w:sz w:val="26"/>
          <w:szCs w:val="26"/>
        </w:rPr>
        <w:t>入职宣誓</w:t>
      </w:r>
    </w:p>
    <w:p>
      <w:pPr>
        <w:tabs>
          <w:tab w:val="left" w:pos="1008"/>
        </w:tabs>
        <w:overflowPunct w:val="0"/>
        <w:snapToGrid w:val="0"/>
        <w:spacing w:line="312" w:lineRule="auto"/>
        <w:ind w:firstLine="520" w:firstLineChars="200"/>
        <w:rPr>
          <w:rFonts w:hint="eastAsia" w:ascii="仿宋" w:hAnsi="仿宋" w:eastAsia="仿宋" w:cs="仿宋"/>
          <w:color w:val="000000"/>
          <w:sz w:val="26"/>
          <w:szCs w:val="26"/>
        </w:rPr>
      </w:pPr>
      <w:r>
        <w:rPr>
          <w:rFonts w:hint="eastAsia" w:ascii="仿宋" w:hAnsi="仿宋" w:eastAsia="仿宋" w:cs="仿宋"/>
          <w:color w:val="000000"/>
          <w:sz w:val="26"/>
          <w:szCs w:val="26"/>
        </w:rPr>
        <w:t>在庆祝教师节大会上举行入职宣誓仪式。请教授代表领誓《上海海洋大学师德铭》，强化新教工的岗位意识和职业精神。</w:t>
      </w:r>
    </w:p>
    <w:p>
      <w:pPr>
        <w:pStyle w:val="5"/>
        <w:numPr>
          <w:ilvl w:val="0"/>
          <w:numId w:val="5"/>
        </w:numPr>
        <w:tabs>
          <w:tab w:val="left" w:pos="1008"/>
          <w:tab w:val="clear" w:pos="1021"/>
        </w:tabs>
        <w:overflowPunct w:val="0"/>
        <w:snapToGrid w:val="0"/>
        <w:spacing w:line="312" w:lineRule="auto"/>
        <w:ind w:firstLineChars="0"/>
        <w:rPr>
          <w:rFonts w:hint="eastAsia" w:ascii="仿宋" w:hAnsi="仿宋" w:eastAsia="仿宋" w:cs="仿宋"/>
          <w:color w:val="000000"/>
          <w:sz w:val="26"/>
          <w:szCs w:val="26"/>
        </w:rPr>
      </w:pPr>
      <w:r>
        <w:rPr>
          <w:rFonts w:hint="eastAsia" w:ascii="仿宋" w:hAnsi="仿宋" w:eastAsia="仿宋" w:cs="仿宋"/>
          <w:color w:val="000000"/>
          <w:sz w:val="26"/>
          <w:szCs w:val="26"/>
        </w:rPr>
        <w:t>签订师德师风承诺书</w:t>
      </w:r>
    </w:p>
    <w:p>
      <w:pPr>
        <w:tabs>
          <w:tab w:val="left" w:pos="1008"/>
        </w:tabs>
        <w:overflowPunct w:val="0"/>
        <w:snapToGrid w:val="0"/>
        <w:spacing w:line="312" w:lineRule="auto"/>
        <w:ind w:firstLine="520" w:firstLineChars="200"/>
        <w:rPr>
          <w:rFonts w:hint="eastAsia" w:ascii="仿宋" w:hAnsi="仿宋" w:eastAsia="仿宋" w:cs="仿宋"/>
          <w:color w:val="000000"/>
          <w:sz w:val="26"/>
          <w:szCs w:val="26"/>
        </w:rPr>
      </w:pPr>
      <w:r>
        <w:rPr>
          <w:rFonts w:hint="eastAsia" w:ascii="仿宋" w:hAnsi="仿宋" w:eastAsia="仿宋" w:cs="仿宋"/>
          <w:color w:val="000000"/>
          <w:sz w:val="26"/>
          <w:szCs w:val="26"/>
        </w:rPr>
        <w:t>开展师德师风专题教育，学习教育部《关于建立健全高校师德建设长效机制的意见》和上海市、学校文件精神，</w:t>
      </w:r>
      <w:r>
        <w:rPr>
          <w:rFonts w:hint="eastAsia" w:ascii="仿宋" w:hAnsi="仿宋" w:eastAsia="仿宋" w:cs="仿宋"/>
          <w:b/>
          <w:color w:val="000000"/>
          <w:sz w:val="26"/>
          <w:szCs w:val="26"/>
        </w:rPr>
        <w:t>签订师德师风承诺书</w:t>
      </w:r>
      <w:r>
        <w:rPr>
          <w:rFonts w:hint="eastAsia" w:ascii="仿宋" w:hAnsi="仿宋" w:eastAsia="仿宋" w:cs="仿宋"/>
          <w:color w:val="000000"/>
          <w:sz w:val="26"/>
          <w:szCs w:val="26"/>
        </w:rPr>
        <w:t>，树立师德新风尚。</w:t>
      </w:r>
    </w:p>
    <w:p>
      <w:pPr>
        <w:pStyle w:val="5"/>
        <w:numPr>
          <w:ilvl w:val="0"/>
          <w:numId w:val="4"/>
        </w:numPr>
        <w:overflowPunct w:val="0"/>
        <w:ind w:firstLineChars="0"/>
        <w:jc w:val="left"/>
        <w:rPr>
          <w:rFonts w:hint="eastAsia" w:ascii="仿宋" w:hAnsi="仿宋" w:eastAsia="仿宋" w:cs="仿宋"/>
          <w:color w:val="000000"/>
          <w:sz w:val="26"/>
          <w:szCs w:val="26"/>
        </w:rPr>
      </w:pPr>
      <w:r>
        <w:rPr>
          <w:rFonts w:hint="eastAsia" w:ascii="仿宋" w:hAnsi="仿宋" w:eastAsia="仿宋" w:cs="仿宋"/>
          <w:color w:val="000000"/>
          <w:sz w:val="26"/>
          <w:szCs w:val="26"/>
        </w:rPr>
        <w:t>各学院（二级单位）分类业务课程培训</w:t>
      </w:r>
    </w:p>
    <w:p>
      <w:pPr>
        <w:tabs>
          <w:tab w:val="left" w:pos="1008"/>
        </w:tabs>
        <w:overflowPunct w:val="0"/>
        <w:snapToGrid w:val="0"/>
        <w:spacing w:line="312" w:lineRule="auto"/>
        <w:ind w:firstLine="520" w:firstLineChars="200"/>
        <w:rPr>
          <w:rFonts w:hint="eastAsia" w:ascii="仿宋" w:hAnsi="仿宋" w:eastAsia="仿宋" w:cs="仿宋"/>
          <w:color w:val="000000"/>
          <w:sz w:val="26"/>
          <w:szCs w:val="26"/>
        </w:rPr>
      </w:pPr>
      <w:r>
        <w:rPr>
          <w:rFonts w:hint="eastAsia" w:ascii="仿宋" w:hAnsi="仿宋" w:eastAsia="仿宋" w:cs="仿宋"/>
          <w:color w:val="000000"/>
          <w:sz w:val="26"/>
          <w:szCs w:val="26"/>
        </w:rPr>
        <w:t>由各学院和相关部门落实，各学院和相关部门负责人总负责。二级单位培训以院史院情、教育教学能力实践交流模块为主，请各学院在本学期内以分散、集中培训的形式开展二级研修班培训工作；教务处、机关党委、直属业务部门、学生工作部（处）、实验室与设备管理处分别负责另行制定和开展专任教师、行政管理人员、专职组织员/宣传员、专职辅导员、教辅人员、师资博士后的分类业务培训工作，具体分类业务课程培训教学安排见附件。</w:t>
      </w:r>
    </w:p>
    <w:p>
      <w:pPr>
        <w:tabs>
          <w:tab w:val="left" w:pos="1008"/>
        </w:tabs>
        <w:overflowPunct w:val="0"/>
        <w:snapToGrid w:val="0"/>
        <w:spacing w:line="312" w:lineRule="auto"/>
        <w:ind w:firstLine="520" w:firstLineChars="200"/>
        <w:rPr>
          <w:rFonts w:hint="eastAsia" w:ascii="仿宋" w:hAnsi="仿宋" w:eastAsia="仿宋" w:cs="仿宋"/>
          <w:color w:val="000000"/>
          <w:sz w:val="26"/>
          <w:szCs w:val="26"/>
        </w:rPr>
      </w:pPr>
      <w:r>
        <w:rPr>
          <w:rFonts w:hint="eastAsia" w:ascii="仿宋" w:hAnsi="仿宋" w:eastAsia="仿宋" w:cs="仿宋"/>
          <w:color w:val="000000"/>
          <w:sz w:val="26"/>
          <w:szCs w:val="26"/>
        </w:rPr>
        <w:t>为确保培训成效，请各学院具体明确和落实新教师所属的基层组织和教学团队以及导师（跨学院的基础课导师可联系教务处予以协调落实），并组织新教师填写《新教师培训、培养计划表》，请于10月11日前以学院为单位书面报人事处（行政楼605A办公室）。</w:t>
      </w:r>
    </w:p>
    <w:p>
      <w:pPr>
        <w:pStyle w:val="5"/>
        <w:numPr>
          <w:ilvl w:val="0"/>
          <w:numId w:val="1"/>
        </w:numPr>
        <w:tabs>
          <w:tab w:val="left" w:pos="420"/>
          <w:tab w:val="left" w:pos="540"/>
        </w:tabs>
        <w:overflowPunct w:val="0"/>
        <w:spacing w:before="156" w:beforeLines="50"/>
        <w:ind w:firstLineChars="0"/>
        <w:jc w:val="left"/>
        <w:rPr>
          <w:rFonts w:hint="eastAsia" w:ascii="仿宋" w:hAnsi="仿宋" w:eastAsia="仿宋" w:cs="仿宋"/>
          <w:color w:val="000000"/>
          <w:sz w:val="28"/>
          <w:szCs w:val="28"/>
        </w:rPr>
      </w:pPr>
      <w:r>
        <w:rPr>
          <w:rFonts w:hint="eastAsia" w:ascii="仿宋" w:hAnsi="仿宋" w:eastAsia="仿宋" w:cs="仿宋"/>
          <w:color w:val="000000"/>
          <w:sz w:val="28"/>
          <w:szCs w:val="28"/>
        </w:rPr>
        <w:t>培训时间及地点</w:t>
      </w:r>
    </w:p>
    <w:p>
      <w:pPr>
        <w:tabs>
          <w:tab w:val="left" w:pos="1008"/>
        </w:tabs>
        <w:overflowPunct w:val="0"/>
        <w:snapToGrid w:val="0"/>
        <w:spacing w:line="312" w:lineRule="auto"/>
        <w:ind w:firstLine="520" w:firstLineChars="200"/>
        <w:rPr>
          <w:rFonts w:hint="eastAsia" w:ascii="仿宋" w:hAnsi="仿宋" w:eastAsia="仿宋" w:cs="仿宋"/>
          <w:color w:val="000000"/>
          <w:sz w:val="26"/>
          <w:szCs w:val="26"/>
        </w:rPr>
      </w:pPr>
      <w:r>
        <w:rPr>
          <w:rFonts w:hint="eastAsia" w:ascii="仿宋" w:hAnsi="仿宋" w:eastAsia="仿宋" w:cs="仿宋"/>
          <w:color w:val="000000"/>
          <w:sz w:val="26"/>
          <w:szCs w:val="26"/>
        </w:rPr>
        <w:t>校本通识课程安排在</w:t>
      </w:r>
      <w:r>
        <w:rPr>
          <w:rFonts w:hint="eastAsia" w:ascii="仿宋" w:hAnsi="仿宋" w:eastAsia="仿宋" w:cs="仿宋"/>
          <w:b/>
          <w:color w:val="000000"/>
          <w:sz w:val="26"/>
          <w:szCs w:val="26"/>
        </w:rPr>
        <w:t>2019年8月28日-9月3日（共七天），</w:t>
      </w:r>
      <w:r>
        <w:rPr>
          <w:rFonts w:hint="eastAsia" w:ascii="仿宋" w:hAnsi="仿宋" w:eastAsia="仿宋" w:cs="仿宋"/>
          <w:color w:val="000000"/>
          <w:sz w:val="26"/>
          <w:szCs w:val="26"/>
        </w:rPr>
        <w:t>课程安排的具体时间地点见《第十六期新进教师教育教学能力开发研修班校本通识课程教学计划》。分类业务课程安排在2019年下半年开展，课程安排的具体时间地点见《第十六期新进教师教育教学能力开发研修班分类业务课程教学计划》。</w:t>
      </w:r>
    </w:p>
    <w:p>
      <w:pPr>
        <w:pStyle w:val="5"/>
        <w:numPr>
          <w:ilvl w:val="0"/>
          <w:numId w:val="1"/>
        </w:numPr>
        <w:tabs>
          <w:tab w:val="left" w:pos="420"/>
          <w:tab w:val="left" w:pos="540"/>
        </w:tabs>
        <w:overflowPunct w:val="0"/>
        <w:spacing w:before="156" w:beforeLines="50"/>
        <w:ind w:firstLineChars="0"/>
        <w:jc w:val="left"/>
        <w:rPr>
          <w:rFonts w:hint="eastAsia" w:ascii="仿宋" w:hAnsi="仿宋" w:eastAsia="仿宋" w:cs="仿宋"/>
          <w:color w:val="000000"/>
          <w:sz w:val="28"/>
          <w:szCs w:val="28"/>
        </w:rPr>
      </w:pPr>
      <w:r>
        <w:rPr>
          <w:rFonts w:hint="eastAsia" w:ascii="仿宋" w:hAnsi="仿宋" w:eastAsia="仿宋" w:cs="仿宋"/>
          <w:color w:val="000000"/>
          <w:sz w:val="28"/>
          <w:szCs w:val="28"/>
        </w:rPr>
        <w:t>培训考核与评估</w:t>
      </w:r>
    </w:p>
    <w:p>
      <w:pPr>
        <w:tabs>
          <w:tab w:val="left" w:pos="1008"/>
        </w:tabs>
        <w:overflowPunct w:val="0"/>
        <w:snapToGrid w:val="0"/>
        <w:spacing w:line="312" w:lineRule="auto"/>
        <w:ind w:firstLine="520" w:firstLineChars="200"/>
        <w:rPr>
          <w:rFonts w:hint="eastAsia" w:ascii="仿宋" w:hAnsi="仿宋" w:eastAsia="仿宋" w:cs="仿宋"/>
          <w:color w:val="000000"/>
          <w:sz w:val="26"/>
          <w:szCs w:val="26"/>
        </w:rPr>
      </w:pPr>
      <w:r>
        <w:rPr>
          <w:rFonts w:hint="eastAsia" w:ascii="仿宋" w:hAnsi="仿宋" w:eastAsia="仿宋" w:cs="仿宋"/>
          <w:color w:val="000000"/>
          <w:sz w:val="26"/>
          <w:szCs w:val="26"/>
        </w:rPr>
        <w:t>对新教工培训考核以课程考勤、课堂听记、交流分享、课程心得等为主，由各组织单位工作小组全过程参与，客观公正评价。</w:t>
      </w:r>
    </w:p>
    <w:p>
      <w:pPr>
        <w:pStyle w:val="5"/>
        <w:numPr>
          <w:ilvl w:val="0"/>
          <w:numId w:val="1"/>
        </w:numPr>
        <w:tabs>
          <w:tab w:val="left" w:pos="420"/>
          <w:tab w:val="left" w:pos="540"/>
        </w:tabs>
        <w:overflowPunct w:val="0"/>
        <w:spacing w:before="156" w:beforeLines="50"/>
        <w:ind w:firstLineChars="0"/>
        <w:jc w:val="left"/>
        <w:rPr>
          <w:rFonts w:hint="eastAsia" w:ascii="仿宋" w:hAnsi="仿宋" w:eastAsia="仿宋" w:cs="仿宋"/>
          <w:color w:val="000000"/>
          <w:sz w:val="28"/>
          <w:szCs w:val="28"/>
        </w:rPr>
      </w:pPr>
      <w:r>
        <w:rPr>
          <w:rFonts w:hint="eastAsia" w:ascii="仿宋" w:hAnsi="仿宋" w:eastAsia="仿宋" w:cs="仿宋"/>
          <w:color w:val="000000"/>
          <w:sz w:val="28"/>
          <w:szCs w:val="28"/>
        </w:rPr>
        <w:t>组织架构</w:t>
      </w:r>
    </w:p>
    <w:p>
      <w:pPr>
        <w:pStyle w:val="5"/>
        <w:numPr>
          <w:ilvl w:val="0"/>
          <w:numId w:val="6"/>
        </w:numPr>
        <w:overflowPunct w:val="0"/>
        <w:ind w:firstLineChars="0"/>
        <w:jc w:val="left"/>
        <w:rPr>
          <w:rFonts w:hint="eastAsia" w:ascii="仿宋" w:hAnsi="仿宋" w:eastAsia="仿宋" w:cs="仿宋"/>
          <w:color w:val="000000"/>
          <w:sz w:val="26"/>
          <w:szCs w:val="26"/>
        </w:rPr>
      </w:pPr>
      <w:r>
        <w:rPr>
          <w:rFonts w:hint="eastAsia" w:ascii="仿宋" w:hAnsi="仿宋" w:eastAsia="仿宋" w:cs="仿宋"/>
          <w:color w:val="000000"/>
          <w:sz w:val="26"/>
          <w:szCs w:val="26"/>
        </w:rPr>
        <w:t>第十六期新进教师教育教学能力开发研修班</w:t>
      </w:r>
    </w:p>
    <w:p>
      <w:pPr>
        <w:tabs>
          <w:tab w:val="left" w:pos="1008"/>
        </w:tabs>
        <w:overflowPunct w:val="0"/>
        <w:snapToGrid w:val="0"/>
        <w:spacing w:line="312" w:lineRule="auto"/>
        <w:ind w:firstLine="520" w:firstLineChars="200"/>
        <w:rPr>
          <w:rFonts w:hint="eastAsia" w:ascii="仿宋" w:hAnsi="仿宋" w:eastAsia="仿宋" w:cs="仿宋"/>
          <w:color w:val="000000"/>
          <w:sz w:val="26"/>
          <w:szCs w:val="26"/>
        </w:rPr>
      </w:pPr>
      <w:r>
        <w:rPr>
          <w:rFonts w:hint="eastAsia" w:ascii="仿宋" w:hAnsi="仿宋" w:eastAsia="仿宋" w:cs="仿宋"/>
          <w:color w:val="000000"/>
          <w:sz w:val="26"/>
          <w:szCs w:val="26"/>
        </w:rPr>
        <w:t>班 主 任：杨德利（党委教师工作部部长、人事处处长）</w:t>
      </w:r>
    </w:p>
    <w:p>
      <w:pPr>
        <w:tabs>
          <w:tab w:val="left" w:pos="1008"/>
        </w:tabs>
        <w:overflowPunct w:val="0"/>
        <w:snapToGrid w:val="0"/>
        <w:spacing w:line="312" w:lineRule="auto"/>
        <w:ind w:firstLine="520" w:firstLineChars="200"/>
        <w:rPr>
          <w:rFonts w:hint="eastAsia" w:ascii="仿宋" w:hAnsi="仿宋" w:eastAsia="仿宋" w:cs="仿宋"/>
          <w:color w:val="000000"/>
          <w:sz w:val="26"/>
          <w:szCs w:val="26"/>
        </w:rPr>
      </w:pPr>
      <w:r>
        <w:rPr>
          <w:rFonts w:hint="eastAsia" w:ascii="仿宋" w:hAnsi="仿宋" w:eastAsia="仿宋" w:cs="仿宋"/>
          <w:color w:val="000000"/>
          <w:sz w:val="26"/>
          <w:szCs w:val="26"/>
        </w:rPr>
        <w:tab/>
      </w:r>
      <w:r>
        <w:rPr>
          <w:rFonts w:hint="eastAsia" w:ascii="仿宋" w:hAnsi="仿宋" w:eastAsia="仿宋" w:cs="仿宋"/>
          <w:color w:val="000000"/>
          <w:sz w:val="26"/>
          <w:szCs w:val="26"/>
        </w:rPr>
        <w:tab/>
      </w:r>
      <w:r>
        <w:rPr>
          <w:rFonts w:hint="eastAsia" w:ascii="仿宋" w:hAnsi="仿宋" w:eastAsia="仿宋" w:cs="仿宋"/>
          <w:color w:val="000000"/>
          <w:sz w:val="26"/>
          <w:szCs w:val="26"/>
        </w:rPr>
        <w:tab/>
      </w:r>
      <w:r>
        <w:rPr>
          <w:rFonts w:hint="eastAsia" w:ascii="仿宋" w:hAnsi="仿宋" w:eastAsia="仿宋" w:cs="仿宋"/>
          <w:color w:val="000000"/>
          <w:sz w:val="26"/>
          <w:szCs w:val="26"/>
        </w:rPr>
        <w:tab/>
      </w:r>
      <w:r>
        <w:rPr>
          <w:rFonts w:hint="eastAsia" w:ascii="仿宋" w:hAnsi="仿宋" w:eastAsia="仿宋" w:cs="仿宋"/>
          <w:color w:val="000000"/>
          <w:sz w:val="26"/>
          <w:szCs w:val="26"/>
        </w:rPr>
        <w:tab/>
      </w:r>
      <w:r>
        <w:rPr>
          <w:rFonts w:hint="eastAsia" w:ascii="仿宋" w:hAnsi="仿宋" w:eastAsia="仿宋" w:cs="仿宋"/>
          <w:color w:val="000000"/>
          <w:sz w:val="26"/>
          <w:szCs w:val="26"/>
        </w:rPr>
        <w:tab/>
      </w:r>
      <w:r>
        <w:rPr>
          <w:rFonts w:hint="eastAsia" w:ascii="仿宋" w:hAnsi="仿宋" w:eastAsia="仿宋" w:cs="仿宋"/>
          <w:color w:val="000000"/>
          <w:sz w:val="26"/>
          <w:szCs w:val="26"/>
        </w:rPr>
        <w:tab/>
      </w:r>
      <w:r>
        <w:rPr>
          <w:rFonts w:hint="eastAsia" w:ascii="仿宋" w:hAnsi="仿宋" w:eastAsia="仿宋" w:cs="仿宋"/>
          <w:color w:val="000000"/>
          <w:sz w:val="26"/>
          <w:szCs w:val="26"/>
        </w:rPr>
        <w:tab/>
      </w:r>
      <w:r>
        <w:rPr>
          <w:rFonts w:hint="eastAsia" w:ascii="仿宋" w:hAnsi="仿宋" w:eastAsia="仿宋" w:cs="仿宋"/>
          <w:color w:val="000000"/>
          <w:sz w:val="26"/>
          <w:szCs w:val="26"/>
        </w:rPr>
        <w:tab/>
      </w:r>
      <w:r>
        <w:rPr>
          <w:rFonts w:hint="eastAsia" w:ascii="仿宋" w:hAnsi="仿宋" w:eastAsia="仿宋" w:cs="仿宋"/>
          <w:color w:val="000000"/>
          <w:sz w:val="26"/>
          <w:szCs w:val="26"/>
        </w:rPr>
        <w:tab/>
      </w:r>
      <w:r>
        <w:rPr>
          <w:rFonts w:hint="eastAsia" w:ascii="仿宋" w:hAnsi="仿宋" w:eastAsia="仿宋" w:cs="仿宋"/>
          <w:color w:val="000000"/>
          <w:sz w:val="26"/>
          <w:szCs w:val="26"/>
        </w:rPr>
        <w:tab/>
      </w:r>
      <w:r>
        <w:rPr>
          <w:rFonts w:hint="eastAsia" w:ascii="仿宋" w:hAnsi="仿宋" w:eastAsia="仿宋" w:cs="仿宋"/>
          <w:color w:val="000000"/>
          <w:sz w:val="26"/>
          <w:szCs w:val="26"/>
        </w:rPr>
        <w:tab/>
      </w:r>
      <w:r>
        <w:rPr>
          <w:rFonts w:hint="eastAsia" w:ascii="仿宋" w:hAnsi="仿宋" w:eastAsia="仿宋" w:cs="仿宋"/>
          <w:color w:val="000000"/>
          <w:sz w:val="26"/>
          <w:szCs w:val="26"/>
        </w:rPr>
        <w:t>15692165637</w:t>
      </w:r>
    </w:p>
    <w:p>
      <w:pPr>
        <w:tabs>
          <w:tab w:val="left" w:pos="1008"/>
        </w:tabs>
        <w:overflowPunct w:val="0"/>
        <w:snapToGrid w:val="0"/>
        <w:spacing w:line="312" w:lineRule="auto"/>
        <w:ind w:firstLine="520" w:firstLineChars="200"/>
        <w:rPr>
          <w:rFonts w:hint="eastAsia" w:ascii="仿宋" w:hAnsi="仿宋" w:eastAsia="仿宋" w:cs="仿宋"/>
          <w:color w:val="000000"/>
          <w:sz w:val="26"/>
          <w:szCs w:val="26"/>
        </w:rPr>
      </w:pPr>
      <w:r>
        <w:rPr>
          <w:rFonts w:hint="eastAsia" w:ascii="仿宋" w:hAnsi="仿宋" w:eastAsia="仿宋" w:cs="仿宋"/>
          <w:color w:val="000000"/>
          <w:sz w:val="26"/>
          <w:szCs w:val="26"/>
        </w:rPr>
        <w:t>副班主任：金　晔（工会常务副主席）</w:t>
      </w:r>
      <w:r>
        <w:rPr>
          <w:rFonts w:hint="eastAsia" w:ascii="仿宋" w:hAnsi="仿宋" w:eastAsia="仿宋" w:cs="仿宋"/>
          <w:color w:val="000000"/>
          <w:sz w:val="26"/>
          <w:szCs w:val="26"/>
        </w:rPr>
        <w:tab/>
      </w:r>
      <w:r>
        <w:rPr>
          <w:rFonts w:hint="eastAsia" w:ascii="仿宋" w:hAnsi="仿宋" w:eastAsia="仿宋" w:cs="仿宋"/>
          <w:color w:val="000000"/>
          <w:sz w:val="26"/>
          <w:szCs w:val="26"/>
        </w:rPr>
        <w:tab/>
      </w:r>
      <w:r>
        <w:rPr>
          <w:rFonts w:hint="eastAsia" w:ascii="仿宋" w:hAnsi="仿宋" w:eastAsia="仿宋" w:cs="仿宋"/>
          <w:color w:val="000000"/>
          <w:sz w:val="26"/>
          <w:szCs w:val="26"/>
        </w:rPr>
        <w:t>15692165575</w:t>
      </w:r>
    </w:p>
    <w:p>
      <w:pPr>
        <w:tabs>
          <w:tab w:val="left" w:pos="1008"/>
        </w:tabs>
        <w:overflowPunct w:val="0"/>
        <w:snapToGrid w:val="0"/>
        <w:spacing w:line="312" w:lineRule="auto"/>
        <w:ind w:firstLine="1820" w:firstLineChars="700"/>
        <w:rPr>
          <w:rFonts w:hint="eastAsia" w:ascii="仿宋" w:hAnsi="仿宋" w:eastAsia="仿宋" w:cs="仿宋"/>
          <w:color w:val="000000"/>
          <w:sz w:val="26"/>
          <w:szCs w:val="26"/>
        </w:rPr>
      </w:pPr>
      <w:r>
        <w:rPr>
          <w:rFonts w:hint="eastAsia" w:ascii="仿宋" w:hAnsi="仿宋" w:eastAsia="仿宋" w:cs="仿宋"/>
          <w:color w:val="000000"/>
          <w:sz w:val="26"/>
          <w:szCs w:val="26"/>
        </w:rPr>
        <w:t>李　杲（党委组织部副部长）</w:t>
      </w:r>
      <w:r>
        <w:rPr>
          <w:rFonts w:hint="eastAsia" w:ascii="仿宋" w:hAnsi="仿宋" w:eastAsia="仿宋" w:cs="仿宋"/>
          <w:color w:val="000000"/>
          <w:sz w:val="26"/>
          <w:szCs w:val="26"/>
        </w:rPr>
        <w:tab/>
      </w:r>
      <w:r>
        <w:rPr>
          <w:rFonts w:hint="eastAsia" w:ascii="仿宋" w:hAnsi="仿宋" w:eastAsia="仿宋" w:cs="仿宋"/>
          <w:color w:val="000000"/>
          <w:sz w:val="26"/>
          <w:szCs w:val="26"/>
        </w:rPr>
        <w:t>15692165132</w:t>
      </w:r>
    </w:p>
    <w:p>
      <w:pPr>
        <w:tabs>
          <w:tab w:val="left" w:pos="1008"/>
        </w:tabs>
        <w:overflowPunct w:val="0"/>
        <w:snapToGrid w:val="0"/>
        <w:spacing w:line="312" w:lineRule="auto"/>
        <w:ind w:firstLine="1820" w:firstLineChars="700"/>
        <w:rPr>
          <w:rFonts w:hint="eastAsia" w:ascii="仿宋" w:hAnsi="仿宋" w:eastAsia="仿宋" w:cs="仿宋"/>
          <w:color w:val="000000"/>
          <w:sz w:val="26"/>
          <w:szCs w:val="26"/>
        </w:rPr>
      </w:pPr>
      <w:r>
        <w:rPr>
          <w:rFonts w:hint="eastAsia" w:ascii="仿宋" w:hAnsi="仿宋" w:eastAsia="仿宋" w:cs="仿宋"/>
          <w:color w:val="000000"/>
          <w:sz w:val="26"/>
          <w:szCs w:val="26"/>
        </w:rPr>
        <w:t>屈琳琳（党委宣传部副部长）</w:t>
      </w:r>
      <w:r>
        <w:rPr>
          <w:rFonts w:hint="eastAsia" w:ascii="仿宋" w:hAnsi="仿宋" w:eastAsia="仿宋" w:cs="仿宋"/>
          <w:color w:val="000000"/>
          <w:sz w:val="26"/>
          <w:szCs w:val="26"/>
        </w:rPr>
        <w:tab/>
      </w:r>
      <w:r>
        <w:rPr>
          <w:rFonts w:hint="eastAsia" w:ascii="仿宋" w:hAnsi="仿宋" w:eastAsia="仿宋" w:cs="仿宋"/>
          <w:color w:val="000000"/>
          <w:sz w:val="26"/>
          <w:szCs w:val="26"/>
        </w:rPr>
        <w:t>15692165059</w:t>
      </w:r>
    </w:p>
    <w:p>
      <w:pPr>
        <w:tabs>
          <w:tab w:val="left" w:pos="1008"/>
        </w:tabs>
        <w:overflowPunct w:val="0"/>
        <w:snapToGrid w:val="0"/>
        <w:spacing w:line="312" w:lineRule="auto"/>
        <w:ind w:firstLine="1820" w:firstLineChars="700"/>
        <w:rPr>
          <w:rFonts w:hint="eastAsia" w:ascii="仿宋" w:hAnsi="仿宋" w:eastAsia="仿宋" w:cs="仿宋"/>
          <w:color w:val="000000"/>
          <w:sz w:val="26"/>
          <w:szCs w:val="26"/>
        </w:rPr>
      </w:pPr>
      <w:r>
        <w:rPr>
          <w:rFonts w:hint="eastAsia" w:ascii="仿宋" w:hAnsi="仿宋" w:eastAsia="仿宋" w:cs="仿宋"/>
          <w:color w:val="000000"/>
          <w:sz w:val="26"/>
          <w:szCs w:val="26"/>
        </w:rPr>
        <w:t>孙礼仕（教务处副处长）</w:t>
      </w:r>
      <w:r>
        <w:rPr>
          <w:rFonts w:hint="eastAsia" w:ascii="仿宋" w:hAnsi="仿宋" w:eastAsia="仿宋" w:cs="仿宋"/>
          <w:color w:val="000000"/>
          <w:sz w:val="26"/>
          <w:szCs w:val="26"/>
        </w:rPr>
        <w:tab/>
      </w:r>
      <w:r>
        <w:rPr>
          <w:rFonts w:hint="eastAsia" w:ascii="仿宋" w:hAnsi="仿宋" w:eastAsia="仿宋" w:cs="仿宋"/>
          <w:color w:val="000000"/>
          <w:sz w:val="26"/>
          <w:szCs w:val="26"/>
        </w:rPr>
        <w:tab/>
      </w:r>
      <w:r>
        <w:rPr>
          <w:rFonts w:hint="eastAsia" w:ascii="仿宋" w:hAnsi="仿宋" w:eastAsia="仿宋" w:cs="仿宋"/>
          <w:color w:val="000000"/>
          <w:sz w:val="26"/>
          <w:szCs w:val="26"/>
        </w:rPr>
        <w:t>15692165138</w:t>
      </w:r>
    </w:p>
    <w:p>
      <w:pPr>
        <w:tabs>
          <w:tab w:val="left" w:pos="1008"/>
        </w:tabs>
        <w:overflowPunct w:val="0"/>
        <w:snapToGrid w:val="0"/>
        <w:spacing w:line="312" w:lineRule="auto"/>
        <w:ind w:firstLine="1820" w:firstLineChars="700"/>
        <w:rPr>
          <w:rFonts w:hint="eastAsia" w:ascii="仿宋" w:hAnsi="仿宋" w:eastAsia="仿宋" w:cs="仿宋"/>
          <w:color w:val="000000"/>
          <w:sz w:val="26"/>
          <w:szCs w:val="26"/>
        </w:rPr>
      </w:pPr>
      <w:r>
        <w:rPr>
          <w:rFonts w:hint="eastAsia" w:ascii="仿宋" w:hAnsi="仿宋" w:eastAsia="仿宋" w:cs="仿宋"/>
          <w:color w:val="000000"/>
          <w:sz w:val="26"/>
          <w:szCs w:val="26"/>
        </w:rPr>
        <w:t>陈　健（人事处副处长）</w:t>
      </w:r>
      <w:r>
        <w:rPr>
          <w:rFonts w:hint="eastAsia" w:ascii="仿宋" w:hAnsi="仿宋" w:eastAsia="仿宋" w:cs="仿宋"/>
          <w:color w:val="000000"/>
          <w:sz w:val="26"/>
          <w:szCs w:val="26"/>
        </w:rPr>
        <w:tab/>
      </w:r>
      <w:r>
        <w:rPr>
          <w:rFonts w:hint="eastAsia" w:ascii="仿宋" w:hAnsi="仿宋" w:eastAsia="仿宋" w:cs="仿宋"/>
          <w:color w:val="000000"/>
          <w:sz w:val="26"/>
          <w:szCs w:val="26"/>
        </w:rPr>
        <w:tab/>
      </w:r>
      <w:r>
        <w:rPr>
          <w:rFonts w:hint="eastAsia" w:ascii="仿宋" w:hAnsi="仿宋" w:eastAsia="仿宋" w:cs="仿宋"/>
          <w:color w:val="000000"/>
          <w:sz w:val="26"/>
          <w:szCs w:val="26"/>
        </w:rPr>
        <w:t>15692166552</w:t>
      </w:r>
    </w:p>
    <w:p>
      <w:pPr>
        <w:pStyle w:val="5"/>
        <w:numPr>
          <w:ilvl w:val="0"/>
          <w:numId w:val="6"/>
        </w:numPr>
        <w:overflowPunct w:val="0"/>
        <w:ind w:firstLineChars="0"/>
        <w:jc w:val="left"/>
        <w:rPr>
          <w:rFonts w:hint="eastAsia" w:ascii="仿宋" w:hAnsi="仿宋" w:eastAsia="仿宋" w:cs="仿宋"/>
          <w:color w:val="000000"/>
          <w:sz w:val="26"/>
          <w:szCs w:val="26"/>
        </w:rPr>
      </w:pPr>
      <w:r>
        <w:rPr>
          <w:rFonts w:hint="eastAsia" w:ascii="仿宋" w:hAnsi="仿宋" w:eastAsia="仿宋" w:cs="仿宋"/>
          <w:color w:val="000000"/>
          <w:sz w:val="26"/>
          <w:szCs w:val="26"/>
        </w:rPr>
        <w:t>主办单位</w:t>
      </w:r>
    </w:p>
    <w:p>
      <w:pPr>
        <w:rPr>
          <w:rFonts w:hint="eastAsia" w:ascii="仿宋" w:hAnsi="仿宋" w:eastAsia="仿宋" w:cs="仿宋"/>
        </w:rPr>
      </w:pPr>
      <w:r>
        <w:rPr>
          <w:rFonts w:hint="eastAsia" w:ascii="仿宋" w:hAnsi="仿宋" w:eastAsia="仿宋" w:cs="仿宋"/>
          <w:color w:val="000000"/>
          <w:sz w:val="26"/>
          <w:szCs w:val="26"/>
        </w:rPr>
        <w:t>党委教师工作部、人事处、党委组织部、党委宣传部、教务处、工会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黑_GBK">
    <w:altName w:val="黑体"/>
    <w:panose1 w:val="03000509000000000000"/>
    <w:charset w:val="86"/>
    <w:family w:val="script"/>
    <w:pitch w:val="default"/>
    <w:sig w:usb0="00000000" w:usb1="00000000" w:usb2="00000010" w:usb3="00000000" w:csb0="00040000" w:csb1="00000000"/>
  </w:font>
  <w:font w:name="方正黑体_GBK">
    <w:altName w:val="Arial Unicode MS"/>
    <w:panose1 w:val="03000509000000000000"/>
    <w:charset w:val="86"/>
    <w:family w:val="script"/>
    <w:pitch w:val="default"/>
    <w:sig w:usb0="00000000" w:usb1="00000000" w:usb2="00000010" w:usb3="00000000" w:csb0="00040000" w:csb1="00000000"/>
  </w:font>
  <w:font w:name="方正楷体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828A1"/>
    <w:multiLevelType w:val="multilevel"/>
    <w:tmpl w:val="1C4828A1"/>
    <w:lvl w:ilvl="0" w:tentative="0">
      <w:start w:val="1"/>
      <w:numFmt w:val="chineseCountingThousand"/>
      <w:lvlText w:val="(%1)"/>
      <w:lvlJc w:val="left"/>
      <w:pPr>
        <w:tabs>
          <w:tab w:val="left" w:pos="624"/>
        </w:tabs>
        <w:ind w:left="624" w:hanging="62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F187014"/>
    <w:multiLevelType w:val="multilevel"/>
    <w:tmpl w:val="2F187014"/>
    <w:lvl w:ilvl="0" w:tentative="0">
      <w:start w:val="1"/>
      <w:numFmt w:val="decimal"/>
      <w:lvlText w:val="%1．"/>
      <w:lvlJc w:val="left"/>
      <w:pPr>
        <w:tabs>
          <w:tab w:val="left" w:pos="1021"/>
        </w:tabs>
        <w:ind w:left="0" w:firstLine="567"/>
      </w:pPr>
      <w:rPr>
        <w:rFonts w:hint="default"/>
      </w:r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2">
    <w:nsid w:val="3D0A7272"/>
    <w:multiLevelType w:val="multilevel"/>
    <w:tmpl w:val="3D0A7272"/>
    <w:lvl w:ilvl="0" w:tentative="0">
      <w:start w:val="1"/>
      <w:numFmt w:val="chineseCountingThousand"/>
      <w:lvlText w:val="%1、"/>
      <w:lvlJc w:val="left"/>
      <w:pPr>
        <w:tabs>
          <w:tab w:val="left" w:pos="624"/>
        </w:tabs>
        <w:ind w:left="624" w:hanging="624"/>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99F0210"/>
    <w:multiLevelType w:val="multilevel"/>
    <w:tmpl w:val="599F0210"/>
    <w:lvl w:ilvl="0" w:tentative="0">
      <w:start w:val="1"/>
      <w:numFmt w:val="chineseCountingThousand"/>
      <w:lvlText w:val="(%1)"/>
      <w:lvlJc w:val="left"/>
      <w:pPr>
        <w:tabs>
          <w:tab w:val="left" w:pos="624"/>
        </w:tabs>
        <w:ind w:left="624" w:hanging="62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EC97CB9"/>
    <w:multiLevelType w:val="multilevel"/>
    <w:tmpl w:val="5EC97CB9"/>
    <w:lvl w:ilvl="0" w:tentative="0">
      <w:start w:val="1"/>
      <w:numFmt w:val="decimal"/>
      <w:lvlText w:val="%1．"/>
      <w:lvlJc w:val="left"/>
      <w:pPr>
        <w:tabs>
          <w:tab w:val="left" w:pos="1021"/>
        </w:tabs>
        <w:ind w:left="0" w:firstLine="567"/>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69303584"/>
    <w:multiLevelType w:val="multilevel"/>
    <w:tmpl w:val="69303584"/>
    <w:lvl w:ilvl="0" w:tentative="0">
      <w:start w:val="1"/>
      <w:numFmt w:val="chineseCountingThousand"/>
      <w:lvlText w:val="(%1)"/>
      <w:lvlJc w:val="left"/>
      <w:pPr>
        <w:tabs>
          <w:tab w:val="left" w:pos="624"/>
        </w:tabs>
        <w:ind w:left="624" w:hanging="62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D6F0550"/>
    <w:rsid w:val="691D2F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黑体"/>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rFonts w:ascii="Calibri" w:hAnsi="Calibri" w:cs="Times New Roman"/>
      <w:b/>
      <w:bCs/>
      <w:kern w:val="44"/>
      <w:sz w:val="44"/>
      <w:szCs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5">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霜凝葉尖</cp:lastModifiedBy>
  <dcterms:modified xsi:type="dcterms:W3CDTF">2019-10-31T08:13:08Z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